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203" w:rsidRDefault="00630A1B">
      <w:pPr>
        <w:jc w:val="center"/>
        <w:rPr>
          <w:rFonts w:ascii="Calibri" w:hAnsi="Calibri"/>
          <w:b/>
          <w:bCs/>
          <w:sz w:val="28"/>
          <w:szCs w:val="28"/>
        </w:rPr>
      </w:pPr>
      <w:r>
        <w:rPr>
          <w:rFonts w:ascii="Calibri" w:hAnsi="Calibri"/>
          <w:b/>
          <w:bCs/>
          <w:sz w:val="28"/>
          <w:szCs w:val="28"/>
        </w:rPr>
        <w:t>What Cars Do Phoenix Men vs. Women Prefer?</w:t>
      </w:r>
    </w:p>
    <w:p w:rsidR="00186203" w:rsidRPr="005D216B" w:rsidRDefault="00186203">
      <w:pPr>
        <w:jc w:val="center"/>
        <w:rPr>
          <w:rFonts w:ascii="Calibri" w:hAnsi="Calibri"/>
          <w:b/>
          <w:bCs/>
        </w:rPr>
      </w:pPr>
    </w:p>
    <w:p w:rsidR="00186203" w:rsidRPr="005D216B" w:rsidRDefault="00630A1B">
      <w:pPr>
        <w:jc w:val="center"/>
        <w:rPr>
          <w:rFonts w:ascii="Calibri" w:hAnsi="Calibri"/>
          <w:bCs/>
          <w:i/>
        </w:rPr>
      </w:pPr>
      <w:r w:rsidRPr="005D216B">
        <w:rPr>
          <w:rFonts w:ascii="Calibri" w:hAnsi="Calibri"/>
          <w:bCs/>
          <w:i/>
        </w:rPr>
        <w:t>Study reveals big differences in favorite vehicle colors and types</w:t>
      </w:r>
    </w:p>
    <w:p w:rsidR="00186203" w:rsidRDefault="00186203">
      <w:pPr>
        <w:rPr>
          <w:rFonts w:ascii="Calibri" w:hAnsi="Calibri"/>
        </w:rPr>
      </w:pPr>
    </w:p>
    <w:p w:rsidR="00186203" w:rsidRDefault="00630A1B">
      <w:pPr>
        <w:rPr>
          <w:rFonts w:ascii="Calibri" w:hAnsi="Calibri"/>
        </w:rPr>
      </w:pPr>
      <w:r>
        <w:rPr>
          <w:rFonts w:ascii="Calibri" w:hAnsi="Calibri"/>
        </w:rPr>
        <w:t xml:space="preserve">BOSTON, </w:t>
      </w:r>
      <w:r w:rsidR="00C82ED5">
        <w:rPr>
          <w:rFonts w:ascii="Calibri" w:hAnsi="Calibri"/>
        </w:rPr>
        <w:t>Oct</w:t>
      </w:r>
      <w:r>
        <w:rPr>
          <w:rFonts w:ascii="Calibri" w:hAnsi="Calibri"/>
        </w:rPr>
        <w:t xml:space="preserve">. 2017 -- Phoenix men and women have completely different preferences for car colors and models, according to new research by </w:t>
      </w:r>
      <w:hyperlink r:id="rId8">
        <w:r>
          <w:rPr>
            <w:rStyle w:val="InternetLink"/>
            <w:rFonts w:ascii="Calibri" w:hAnsi="Calibri"/>
            <w:color w:val="00000A"/>
            <w:u w:val="none"/>
          </w:rPr>
          <w:t>iSeeCars.com</w:t>
        </w:r>
      </w:hyperlink>
      <w:r>
        <w:rPr>
          <w:rStyle w:val="InternetLink"/>
          <w:rFonts w:ascii="Calibri" w:hAnsi="Calibri"/>
          <w:color w:val="00000A"/>
          <w:u w:val="none"/>
        </w:rPr>
        <w:t xml:space="preserve">. The study </w:t>
      </w:r>
      <w:r>
        <w:rPr>
          <w:rFonts w:ascii="Calibri" w:hAnsi="Calibri"/>
        </w:rPr>
        <w:t>analyze</w:t>
      </w:r>
      <w:r w:rsidR="002A3193">
        <w:rPr>
          <w:rFonts w:ascii="Calibri" w:hAnsi="Calibri"/>
        </w:rPr>
        <w:t>s</w:t>
      </w:r>
      <w:bookmarkStart w:id="0" w:name="_GoBack"/>
      <w:bookmarkEnd w:id="0"/>
      <w:r>
        <w:rPr>
          <w:rFonts w:ascii="Calibri" w:hAnsi="Calibri"/>
        </w:rPr>
        <w:t xml:space="preserve"> automobile data from 1.2 million consumer inquiries and 17 million sales to identify local preferences by gender.  </w:t>
      </w:r>
    </w:p>
    <w:p w:rsidR="00186203" w:rsidRDefault="00186203">
      <w:pPr>
        <w:rPr>
          <w:rFonts w:ascii="Calibri" w:hAnsi="Calibri"/>
        </w:rPr>
      </w:pPr>
    </w:p>
    <w:p w:rsidR="00186203" w:rsidRDefault="00630A1B">
      <w:pPr>
        <w:rPr>
          <w:rFonts w:ascii="Calibri" w:hAnsi="Calibri"/>
        </w:rPr>
      </w:pPr>
      <w:r>
        <w:rPr>
          <w:rFonts w:ascii="Calibri" w:hAnsi="Calibri"/>
        </w:rPr>
        <w:t xml:space="preserve">The findings reveal men’s favorite car color is black and women’s is blue. For car models, men’s top favorite is the Chevrolet Impala compared to the women’s favorite Toyota Camry. </w:t>
      </w:r>
    </w:p>
    <w:p w:rsidR="00186203" w:rsidRPr="005D216B" w:rsidRDefault="00186203">
      <w:pPr>
        <w:rPr>
          <w:rFonts w:ascii="Calibri" w:hAnsi="Calibri"/>
          <w:color w:val="00000A"/>
          <w:sz w:val="16"/>
          <w:szCs w:val="16"/>
        </w:rPr>
      </w:pPr>
    </w:p>
    <w:p w:rsidR="00186203" w:rsidRDefault="00630A1B">
      <w:pPr>
        <w:pStyle w:val="NormalWeb"/>
        <w:shd w:val="clear" w:color="auto" w:fill="FFFFFF"/>
        <w:spacing w:before="240" w:after="120"/>
        <w:jc w:val="center"/>
        <w:rPr>
          <w:rFonts w:ascii="Calibri" w:hAnsi="Calibri" w:cs="Arial"/>
          <w:b/>
          <w:bCs/>
        </w:rPr>
      </w:pPr>
      <w:r>
        <w:rPr>
          <w:rFonts w:ascii="Calibri" w:hAnsi="Calibri" w:cs="Arial"/>
          <w:b/>
          <w:bCs/>
        </w:rPr>
        <w:t>Car Colors Men Prefer More Than Women in Phoenix</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4" w:type="dxa"/>
          <w:left w:w="43" w:type="dxa"/>
          <w:bottom w:w="14" w:type="dxa"/>
          <w:right w:w="72" w:type="dxa"/>
        </w:tblCellMar>
        <w:tblLook w:val="04A0" w:firstRow="1" w:lastRow="0" w:firstColumn="1" w:lastColumn="0" w:noHBand="0" w:noVBand="1"/>
      </w:tblPr>
      <w:tblGrid>
        <w:gridCol w:w="985"/>
        <w:gridCol w:w="1097"/>
        <w:gridCol w:w="1611"/>
        <w:gridCol w:w="1531"/>
      </w:tblGrid>
      <w:tr w:rsidR="00186203" w:rsidTr="005D216B">
        <w:trPr>
          <w:trHeight w:val="300"/>
          <w:jc w:val="center"/>
        </w:trPr>
        <w:tc>
          <w:tcPr>
            <w:tcW w:w="985" w:type="dxa"/>
            <w:tcBorders>
              <w:top w:val="single" w:sz="4" w:space="0" w:color="00000A"/>
              <w:left w:val="single" w:sz="4" w:space="0" w:color="00000A"/>
              <w:bottom w:val="single" w:sz="4" w:space="0" w:color="00000A"/>
              <w:right w:val="single" w:sz="4" w:space="0" w:color="00000A"/>
            </w:tcBorders>
            <w:shd w:val="clear" w:color="auto" w:fill="DBE5F1"/>
            <w:tcMar>
              <w:left w:w="43" w:type="dxa"/>
            </w:tcMar>
            <w:vAlign w:val="center"/>
          </w:tcPr>
          <w:p w:rsidR="00186203" w:rsidRDefault="00630A1B">
            <w:pPr>
              <w:suppressAutoHyphens w:val="0"/>
              <w:jc w:val="cente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Rank</w:t>
            </w:r>
          </w:p>
        </w:tc>
        <w:tc>
          <w:tcPr>
            <w:tcW w:w="1097" w:type="dxa"/>
            <w:tcBorders>
              <w:top w:val="single" w:sz="4" w:space="0" w:color="00000A"/>
              <w:left w:val="single" w:sz="4" w:space="0" w:color="00000A"/>
              <w:bottom w:val="single" w:sz="4" w:space="0" w:color="00000A"/>
              <w:right w:val="single" w:sz="4" w:space="0" w:color="00000A"/>
            </w:tcBorders>
            <w:shd w:val="clear" w:color="auto" w:fill="DBE5F1"/>
            <w:tcMar>
              <w:left w:w="38" w:type="dxa"/>
            </w:tcMar>
            <w:vAlign w:val="center"/>
          </w:tcPr>
          <w:p w:rsidR="00186203" w:rsidRDefault="00630A1B">
            <w:pPr>
              <w:suppressAutoHyphens w:val="0"/>
              <w:jc w:val="cente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Color</w:t>
            </w:r>
          </w:p>
        </w:tc>
        <w:tc>
          <w:tcPr>
            <w:tcW w:w="1611" w:type="dxa"/>
            <w:tcBorders>
              <w:top w:val="single" w:sz="4" w:space="0" w:color="00000A"/>
              <w:left w:val="single" w:sz="4" w:space="0" w:color="00000A"/>
              <w:bottom w:val="single" w:sz="4" w:space="0" w:color="00000A"/>
              <w:right w:val="single" w:sz="4" w:space="0" w:color="00000A"/>
            </w:tcBorders>
            <w:shd w:val="clear" w:color="auto" w:fill="DBE5F1"/>
            <w:tcMar>
              <w:left w:w="43" w:type="dxa"/>
            </w:tcMar>
            <w:vAlign w:val="center"/>
          </w:tcPr>
          <w:p w:rsidR="00186203" w:rsidRDefault="00630A1B">
            <w:pPr>
              <w:suppressAutoHyphens w:val="0"/>
              <w:jc w:val="cente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Male Bias</w:t>
            </w:r>
          </w:p>
        </w:tc>
        <w:tc>
          <w:tcPr>
            <w:tcW w:w="1531" w:type="dxa"/>
            <w:tcBorders>
              <w:top w:val="single" w:sz="4" w:space="0" w:color="00000A"/>
              <w:left w:val="single" w:sz="4" w:space="0" w:color="00000A"/>
              <w:bottom w:val="single" w:sz="4" w:space="0" w:color="00000A"/>
              <w:right w:val="single" w:sz="4" w:space="0" w:color="00000A"/>
            </w:tcBorders>
            <w:shd w:val="clear" w:color="auto" w:fill="DBE5F1"/>
            <w:vAlign w:val="center"/>
          </w:tcPr>
          <w:p w:rsidR="00186203" w:rsidRDefault="00630A1B">
            <w:pPr>
              <w:suppressAutoHyphens w:val="0"/>
              <w:jc w:val="cente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National Rank</w:t>
            </w:r>
          </w:p>
        </w:tc>
      </w:tr>
      <w:tr w:rsidR="00186203" w:rsidTr="005D216B">
        <w:trPr>
          <w:trHeight w:val="300"/>
          <w:jc w:val="center"/>
        </w:trPr>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186203" w:rsidRDefault="00630A1B">
            <w:pPr>
              <w:suppressAutoHyphens w:val="0"/>
              <w:jc w:val="center"/>
              <w:rPr>
                <w:rFonts w:ascii="Calibri" w:hAnsi="Calibri"/>
                <w:color w:val="000000"/>
                <w:sz w:val="22"/>
                <w:szCs w:val="22"/>
              </w:rPr>
            </w:pPr>
            <w:r>
              <w:rPr>
                <w:rFonts w:ascii="Calibri" w:hAnsi="Calibri"/>
                <w:color w:val="000000"/>
                <w:sz w:val="22"/>
                <w:szCs w:val="22"/>
              </w:rPr>
              <w:t>1</w:t>
            </w:r>
          </w:p>
        </w:tc>
        <w:tc>
          <w:tcPr>
            <w:tcW w:w="1097" w:type="dxa"/>
            <w:tcBorders>
              <w:top w:val="single" w:sz="4" w:space="0" w:color="00000A"/>
              <w:left w:val="single" w:sz="4" w:space="0" w:color="00000A"/>
              <w:bottom w:val="single" w:sz="4" w:space="0" w:color="00000A"/>
              <w:right w:val="single" w:sz="4" w:space="0" w:color="00000A"/>
            </w:tcBorders>
            <w:shd w:val="clear" w:color="auto" w:fill="FFFFFF"/>
            <w:tcMar>
              <w:left w:w="38" w:type="dxa"/>
            </w:tcMar>
            <w:vAlign w:val="center"/>
          </w:tcPr>
          <w:p w:rsidR="00186203" w:rsidRDefault="00630A1B">
            <w:pPr>
              <w:suppressAutoHyphens w:val="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Black</w:t>
            </w:r>
          </w:p>
        </w:tc>
        <w:tc>
          <w:tcPr>
            <w:tcW w:w="1611"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186203" w:rsidRDefault="00630A1B">
            <w:pPr>
              <w:suppressAutoHyphens w:val="0"/>
              <w:jc w:val="center"/>
              <w:rPr>
                <w:rFonts w:ascii="Calibri" w:hAnsi="Calibri"/>
                <w:color w:val="000000"/>
                <w:sz w:val="22"/>
                <w:szCs w:val="22"/>
              </w:rPr>
            </w:pPr>
            <w:r>
              <w:rPr>
                <w:rFonts w:ascii="Calibri" w:hAnsi="Calibri"/>
                <w:color w:val="000000"/>
                <w:sz w:val="22"/>
                <w:szCs w:val="22"/>
              </w:rPr>
              <w:t>19.2%</w:t>
            </w:r>
          </w:p>
        </w:tc>
        <w:tc>
          <w:tcPr>
            <w:tcW w:w="153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186203" w:rsidRDefault="00630A1B">
            <w:pPr>
              <w:suppressAutoHyphens w:val="0"/>
              <w:jc w:val="center"/>
              <w:rPr>
                <w:rFonts w:ascii="Calibri" w:hAnsi="Calibri"/>
                <w:color w:val="000000"/>
                <w:sz w:val="22"/>
                <w:szCs w:val="22"/>
              </w:rPr>
            </w:pPr>
            <w:r>
              <w:rPr>
                <w:rFonts w:ascii="Calibri" w:hAnsi="Calibri"/>
                <w:color w:val="000000"/>
                <w:sz w:val="22"/>
                <w:szCs w:val="22"/>
              </w:rPr>
              <w:t>3</w:t>
            </w:r>
          </w:p>
        </w:tc>
      </w:tr>
      <w:tr w:rsidR="00186203" w:rsidTr="005D216B">
        <w:trPr>
          <w:trHeight w:val="300"/>
          <w:jc w:val="center"/>
        </w:trPr>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186203" w:rsidRDefault="00630A1B">
            <w:pPr>
              <w:suppressAutoHyphens w:val="0"/>
              <w:jc w:val="center"/>
              <w:rPr>
                <w:rFonts w:ascii="Calibri" w:hAnsi="Calibri"/>
                <w:color w:val="000000"/>
                <w:sz w:val="22"/>
                <w:szCs w:val="22"/>
              </w:rPr>
            </w:pPr>
            <w:r>
              <w:rPr>
                <w:rFonts w:ascii="Calibri" w:hAnsi="Calibri"/>
                <w:color w:val="000000"/>
                <w:sz w:val="22"/>
                <w:szCs w:val="22"/>
              </w:rPr>
              <w:t>2</w:t>
            </w:r>
          </w:p>
        </w:tc>
        <w:tc>
          <w:tcPr>
            <w:tcW w:w="1097" w:type="dxa"/>
            <w:tcBorders>
              <w:top w:val="single" w:sz="4" w:space="0" w:color="00000A"/>
              <w:left w:val="single" w:sz="4" w:space="0" w:color="00000A"/>
              <w:bottom w:val="single" w:sz="4" w:space="0" w:color="00000A"/>
              <w:right w:val="single" w:sz="4" w:space="0" w:color="00000A"/>
            </w:tcBorders>
            <w:shd w:val="clear" w:color="auto" w:fill="FFFFFF"/>
            <w:tcMar>
              <w:left w:w="38" w:type="dxa"/>
            </w:tcMar>
            <w:vAlign w:val="center"/>
          </w:tcPr>
          <w:p w:rsidR="00186203" w:rsidRDefault="00630A1B">
            <w:pPr>
              <w:suppressAutoHyphens w:val="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Beige</w:t>
            </w:r>
          </w:p>
        </w:tc>
        <w:tc>
          <w:tcPr>
            <w:tcW w:w="1611"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186203" w:rsidRDefault="00630A1B">
            <w:pPr>
              <w:suppressAutoHyphens w:val="0"/>
              <w:jc w:val="center"/>
              <w:rPr>
                <w:rFonts w:ascii="Calibri" w:hAnsi="Calibri"/>
                <w:color w:val="000000"/>
                <w:sz w:val="22"/>
                <w:szCs w:val="22"/>
              </w:rPr>
            </w:pPr>
            <w:r>
              <w:rPr>
                <w:rFonts w:ascii="Calibri" w:hAnsi="Calibri"/>
                <w:color w:val="000000"/>
                <w:sz w:val="22"/>
                <w:szCs w:val="22"/>
              </w:rPr>
              <w:t>12.7%</w:t>
            </w:r>
          </w:p>
        </w:tc>
        <w:tc>
          <w:tcPr>
            <w:tcW w:w="153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186203" w:rsidRDefault="00630A1B">
            <w:pPr>
              <w:suppressAutoHyphens w:val="0"/>
              <w:jc w:val="center"/>
              <w:rPr>
                <w:rFonts w:ascii="Calibri" w:hAnsi="Calibri"/>
                <w:color w:val="000000"/>
                <w:sz w:val="22"/>
                <w:szCs w:val="22"/>
              </w:rPr>
            </w:pPr>
            <w:r>
              <w:rPr>
                <w:rFonts w:ascii="Calibri" w:hAnsi="Calibri"/>
                <w:color w:val="000000"/>
                <w:sz w:val="22"/>
                <w:szCs w:val="22"/>
              </w:rPr>
              <w:t>8</w:t>
            </w:r>
          </w:p>
        </w:tc>
      </w:tr>
      <w:tr w:rsidR="00186203" w:rsidTr="005D216B">
        <w:trPr>
          <w:trHeight w:val="300"/>
          <w:jc w:val="center"/>
        </w:trPr>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186203" w:rsidRDefault="00630A1B">
            <w:pPr>
              <w:suppressAutoHyphens w:val="0"/>
              <w:jc w:val="center"/>
              <w:rPr>
                <w:rFonts w:ascii="Calibri" w:hAnsi="Calibri"/>
                <w:color w:val="000000"/>
                <w:sz w:val="22"/>
                <w:szCs w:val="22"/>
              </w:rPr>
            </w:pPr>
            <w:r>
              <w:rPr>
                <w:rFonts w:ascii="Calibri" w:hAnsi="Calibri"/>
                <w:color w:val="000000"/>
                <w:sz w:val="22"/>
                <w:szCs w:val="22"/>
              </w:rPr>
              <w:t>3</w:t>
            </w:r>
          </w:p>
        </w:tc>
        <w:tc>
          <w:tcPr>
            <w:tcW w:w="1097" w:type="dxa"/>
            <w:tcBorders>
              <w:top w:val="single" w:sz="4" w:space="0" w:color="00000A"/>
              <w:left w:val="single" w:sz="4" w:space="0" w:color="00000A"/>
              <w:bottom w:val="single" w:sz="4" w:space="0" w:color="00000A"/>
              <w:right w:val="single" w:sz="4" w:space="0" w:color="00000A"/>
            </w:tcBorders>
            <w:shd w:val="clear" w:color="auto" w:fill="FFFFFF"/>
            <w:tcMar>
              <w:left w:w="38" w:type="dxa"/>
            </w:tcMar>
            <w:vAlign w:val="center"/>
          </w:tcPr>
          <w:p w:rsidR="00186203" w:rsidRDefault="00630A1B">
            <w:pPr>
              <w:suppressAutoHyphens w:val="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Red</w:t>
            </w:r>
          </w:p>
        </w:tc>
        <w:tc>
          <w:tcPr>
            <w:tcW w:w="1611"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186203" w:rsidRDefault="00630A1B">
            <w:pPr>
              <w:suppressAutoHyphens w:val="0"/>
              <w:jc w:val="center"/>
              <w:rPr>
                <w:rFonts w:ascii="Calibri" w:hAnsi="Calibri"/>
                <w:color w:val="000000"/>
                <w:sz w:val="22"/>
                <w:szCs w:val="22"/>
              </w:rPr>
            </w:pPr>
            <w:r>
              <w:rPr>
                <w:rFonts w:ascii="Calibri" w:hAnsi="Calibri"/>
                <w:color w:val="000000"/>
                <w:sz w:val="22"/>
                <w:szCs w:val="22"/>
              </w:rPr>
              <w:t>11.5%</w:t>
            </w:r>
          </w:p>
        </w:tc>
        <w:tc>
          <w:tcPr>
            <w:tcW w:w="153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186203" w:rsidRDefault="00630A1B">
            <w:pPr>
              <w:suppressAutoHyphens w:val="0"/>
              <w:jc w:val="center"/>
              <w:rPr>
                <w:rFonts w:ascii="Calibri" w:hAnsi="Calibri"/>
                <w:color w:val="000000"/>
                <w:sz w:val="22"/>
                <w:szCs w:val="22"/>
              </w:rPr>
            </w:pPr>
            <w:r>
              <w:rPr>
                <w:rFonts w:ascii="Calibri" w:hAnsi="Calibri"/>
                <w:color w:val="000000"/>
                <w:sz w:val="22"/>
                <w:szCs w:val="22"/>
              </w:rPr>
              <w:t>5</w:t>
            </w:r>
          </w:p>
        </w:tc>
      </w:tr>
      <w:tr w:rsidR="00186203" w:rsidTr="005D216B">
        <w:trPr>
          <w:trHeight w:val="300"/>
          <w:jc w:val="center"/>
        </w:trPr>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186203" w:rsidRDefault="00630A1B">
            <w:pPr>
              <w:suppressAutoHyphens w:val="0"/>
              <w:jc w:val="center"/>
              <w:rPr>
                <w:rFonts w:ascii="Calibri" w:hAnsi="Calibri"/>
                <w:color w:val="000000"/>
                <w:sz w:val="22"/>
                <w:szCs w:val="22"/>
              </w:rPr>
            </w:pPr>
            <w:r>
              <w:rPr>
                <w:rFonts w:ascii="Calibri" w:hAnsi="Calibri"/>
                <w:color w:val="000000"/>
                <w:sz w:val="22"/>
                <w:szCs w:val="22"/>
              </w:rPr>
              <w:t>4</w:t>
            </w:r>
          </w:p>
        </w:tc>
        <w:tc>
          <w:tcPr>
            <w:tcW w:w="1097" w:type="dxa"/>
            <w:tcBorders>
              <w:top w:val="single" w:sz="4" w:space="0" w:color="00000A"/>
              <w:left w:val="single" w:sz="4" w:space="0" w:color="00000A"/>
              <w:bottom w:val="single" w:sz="4" w:space="0" w:color="00000A"/>
              <w:right w:val="single" w:sz="4" w:space="0" w:color="00000A"/>
            </w:tcBorders>
            <w:shd w:val="clear" w:color="auto" w:fill="FFFFFF"/>
            <w:tcMar>
              <w:left w:w="38" w:type="dxa"/>
            </w:tcMar>
            <w:vAlign w:val="center"/>
          </w:tcPr>
          <w:p w:rsidR="00186203" w:rsidRDefault="00630A1B">
            <w:pPr>
              <w:suppressAutoHyphens w:val="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Brown</w:t>
            </w:r>
          </w:p>
        </w:tc>
        <w:tc>
          <w:tcPr>
            <w:tcW w:w="1611"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186203" w:rsidRDefault="00630A1B">
            <w:pPr>
              <w:suppressAutoHyphens w:val="0"/>
              <w:jc w:val="center"/>
              <w:rPr>
                <w:rFonts w:ascii="Calibri" w:hAnsi="Calibri"/>
                <w:color w:val="000000"/>
                <w:sz w:val="22"/>
                <w:szCs w:val="22"/>
              </w:rPr>
            </w:pPr>
            <w:r>
              <w:rPr>
                <w:rFonts w:ascii="Calibri" w:hAnsi="Calibri"/>
                <w:color w:val="000000"/>
                <w:sz w:val="22"/>
                <w:szCs w:val="22"/>
              </w:rPr>
              <w:t>10.8%</w:t>
            </w:r>
          </w:p>
        </w:tc>
        <w:tc>
          <w:tcPr>
            <w:tcW w:w="153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186203" w:rsidRDefault="00630A1B">
            <w:pPr>
              <w:suppressAutoHyphens w:val="0"/>
              <w:jc w:val="center"/>
              <w:rPr>
                <w:rFonts w:ascii="Calibri" w:hAnsi="Calibri"/>
                <w:color w:val="000000"/>
                <w:sz w:val="22"/>
                <w:szCs w:val="22"/>
              </w:rPr>
            </w:pPr>
            <w:r>
              <w:rPr>
                <w:rFonts w:ascii="Calibri" w:hAnsi="Calibri"/>
                <w:color w:val="000000"/>
                <w:sz w:val="22"/>
                <w:szCs w:val="22"/>
              </w:rPr>
              <w:t>4</w:t>
            </w:r>
          </w:p>
        </w:tc>
      </w:tr>
      <w:tr w:rsidR="00186203" w:rsidTr="005D216B">
        <w:trPr>
          <w:trHeight w:val="291"/>
          <w:jc w:val="center"/>
        </w:trPr>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186203" w:rsidRDefault="00630A1B">
            <w:pPr>
              <w:suppressAutoHyphens w:val="0"/>
              <w:jc w:val="center"/>
              <w:rPr>
                <w:rFonts w:ascii="Calibri" w:hAnsi="Calibri"/>
                <w:color w:val="000000"/>
                <w:sz w:val="22"/>
                <w:szCs w:val="22"/>
              </w:rPr>
            </w:pPr>
            <w:r>
              <w:rPr>
                <w:rFonts w:ascii="Calibri" w:hAnsi="Calibri"/>
                <w:color w:val="000000"/>
                <w:sz w:val="22"/>
                <w:szCs w:val="22"/>
              </w:rPr>
              <w:t>5</w:t>
            </w:r>
          </w:p>
        </w:tc>
        <w:tc>
          <w:tcPr>
            <w:tcW w:w="1097" w:type="dxa"/>
            <w:tcBorders>
              <w:top w:val="single" w:sz="4" w:space="0" w:color="00000A"/>
              <w:left w:val="single" w:sz="4" w:space="0" w:color="00000A"/>
              <w:bottom w:val="single" w:sz="4" w:space="0" w:color="00000A"/>
              <w:right w:val="single" w:sz="4" w:space="0" w:color="00000A"/>
            </w:tcBorders>
            <w:shd w:val="clear" w:color="auto" w:fill="FFFFFF"/>
            <w:tcMar>
              <w:left w:w="38" w:type="dxa"/>
            </w:tcMar>
            <w:vAlign w:val="center"/>
          </w:tcPr>
          <w:p w:rsidR="00186203" w:rsidRDefault="00630A1B">
            <w:pPr>
              <w:suppressAutoHyphens w:val="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White</w:t>
            </w:r>
          </w:p>
        </w:tc>
        <w:tc>
          <w:tcPr>
            <w:tcW w:w="1611"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186203" w:rsidRDefault="00630A1B">
            <w:pPr>
              <w:suppressAutoHyphens w:val="0"/>
              <w:jc w:val="center"/>
              <w:rPr>
                <w:rFonts w:ascii="Calibri" w:hAnsi="Calibri"/>
                <w:color w:val="000000"/>
                <w:sz w:val="22"/>
                <w:szCs w:val="22"/>
              </w:rPr>
            </w:pPr>
            <w:r>
              <w:rPr>
                <w:rFonts w:ascii="Calibri" w:hAnsi="Calibri"/>
                <w:color w:val="000000"/>
                <w:sz w:val="22"/>
                <w:szCs w:val="22"/>
              </w:rPr>
              <w:t>6.4%</w:t>
            </w:r>
          </w:p>
        </w:tc>
        <w:tc>
          <w:tcPr>
            <w:tcW w:w="153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186203" w:rsidRDefault="00630A1B">
            <w:pPr>
              <w:suppressAutoHyphens w:val="0"/>
              <w:jc w:val="center"/>
              <w:rPr>
                <w:rFonts w:ascii="Calibri" w:hAnsi="Calibri"/>
                <w:color w:val="000000"/>
                <w:sz w:val="22"/>
                <w:szCs w:val="22"/>
              </w:rPr>
            </w:pPr>
            <w:r>
              <w:rPr>
                <w:rFonts w:ascii="Calibri" w:hAnsi="Calibri"/>
                <w:color w:val="000000"/>
                <w:sz w:val="22"/>
                <w:szCs w:val="22"/>
              </w:rPr>
              <w:t>6</w:t>
            </w:r>
          </w:p>
        </w:tc>
      </w:tr>
      <w:tr w:rsidR="00186203" w:rsidTr="005D216B">
        <w:trPr>
          <w:trHeight w:val="291"/>
          <w:jc w:val="center"/>
        </w:trPr>
        <w:tc>
          <w:tcPr>
            <w:tcW w:w="985" w:type="dxa"/>
            <w:tcBorders>
              <w:top w:val="nil"/>
              <w:left w:val="single" w:sz="4" w:space="0" w:color="00000A"/>
              <w:bottom w:val="single" w:sz="4" w:space="0" w:color="00000A"/>
              <w:right w:val="single" w:sz="4" w:space="0" w:color="00000A"/>
            </w:tcBorders>
            <w:shd w:val="clear" w:color="auto" w:fill="FFFFFF"/>
            <w:tcMar>
              <w:left w:w="43" w:type="dxa"/>
            </w:tcMar>
            <w:vAlign w:val="center"/>
          </w:tcPr>
          <w:p w:rsidR="00186203" w:rsidRDefault="00630A1B">
            <w:pPr>
              <w:suppressAutoHyphens w:val="0"/>
              <w:jc w:val="center"/>
              <w:rPr>
                <w:rFonts w:ascii="Calibri" w:hAnsi="Calibri"/>
                <w:sz w:val="22"/>
                <w:szCs w:val="22"/>
              </w:rPr>
            </w:pPr>
            <w:r>
              <w:rPr>
                <w:rFonts w:ascii="Calibri" w:hAnsi="Calibri"/>
                <w:sz w:val="22"/>
                <w:szCs w:val="22"/>
              </w:rPr>
              <w:t>6</w:t>
            </w:r>
          </w:p>
        </w:tc>
        <w:tc>
          <w:tcPr>
            <w:tcW w:w="1097" w:type="dxa"/>
            <w:tcBorders>
              <w:top w:val="nil"/>
              <w:left w:val="single" w:sz="4" w:space="0" w:color="00000A"/>
              <w:bottom w:val="single" w:sz="4" w:space="0" w:color="00000A"/>
              <w:right w:val="single" w:sz="4" w:space="0" w:color="00000A"/>
            </w:tcBorders>
            <w:shd w:val="clear" w:color="auto" w:fill="FFFFFF"/>
            <w:tcMar>
              <w:left w:w="38" w:type="dxa"/>
            </w:tcMar>
            <w:vAlign w:val="center"/>
          </w:tcPr>
          <w:p w:rsidR="00186203" w:rsidRDefault="00630A1B">
            <w:pPr>
              <w:suppressAutoHyphens w:val="0"/>
              <w:jc w:val="center"/>
              <w:rPr>
                <w:rFonts w:ascii="Calibri" w:hAnsi="Calibri"/>
                <w:sz w:val="22"/>
                <w:szCs w:val="22"/>
              </w:rPr>
            </w:pPr>
            <w:r>
              <w:rPr>
                <w:rFonts w:ascii="Calibri" w:hAnsi="Calibri"/>
                <w:sz w:val="22"/>
                <w:szCs w:val="22"/>
              </w:rPr>
              <w:t>Green</w:t>
            </w:r>
          </w:p>
        </w:tc>
        <w:tc>
          <w:tcPr>
            <w:tcW w:w="1611" w:type="dxa"/>
            <w:tcBorders>
              <w:top w:val="nil"/>
              <w:left w:val="single" w:sz="4" w:space="0" w:color="00000A"/>
              <w:bottom w:val="single" w:sz="4" w:space="0" w:color="00000A"/>
              <w:right w:val="single" w:sz="4" w:space="0" w:color="00000A"/>
            </w:tcBorders>
            <w:shd w:val="clear" w:color="auto" w:fill="FFFFFF"/>
            <w:tcMar>
              <w:left w:w="43" w:type="dxa"/>
            </w:tcMar>
            <w:vAlign w:val="center"/>
          </w:tcPr>
          <w:p w:rsidR="00186203" w:rsidRDefault="00630A1B">
            <w:pPr>
              <w:suppressAutoHyphens w:val="0"/>
              <w:jc w:val="center"/>
              <w:rPr>
                <w:rFonts w:ascii="Calibri" w:hAnsi="Calibri"/>
                <w:sz w:val="22"/>
                <w:szCs w:val="22"/>
              </w:rPr>
            </w:pPr>
            <w:r>
              <w:rPr>
                <w:rFonts w:ascii="Calibri" w:hAnsi="Calibri"/>
                <w:sz w:val="22"/>
                <w:szCs w:val="22"/>
              </w:rPr>
              <w:t>2.8%</w:t>
            </w:r>
          </w:p>
        </w:tc>
        <w:tc>
          <w:tcPr>
            <w:tcW w:w="1531" w:type="dxa"/>
            <w:tcBorders>
              <w:top w:val="nil"/>
              <w:left w:val="single" w:sz="4" w:space="0" w:color="00000A"/>
              <w:bottom w:val="single" w:sz="4" w:space="0" w:color="00000A"/>
              <w:right w:val="single" w:sz="4" w:space="0" w:color="00000A"/>
            </w:tcBorders>
            <w:shd w:val="clear" w:color="auto" w:fill="FFFFFF"/>
            <w:vAlign w:val="center"/>
          </w:tcPr>
          <w:p w:rsidR="00186203" w:rsidRDefault="00630A1B">
            <w:pPr>
              <w:suppressAutoHyphens w:val="0"/>
              <w:jc w:val="center"/>
              <w:rPr>
                <w:rFonts w:ascii="Calibri" w:hAnsi="Calibri"/>
                <w:sz w:val="22"/>
                <w:szCs w:val="22"/>
              </w:rPr>
            </w:pPr>
            <w:r>
              <w:rPr>
                <w:rFonts w:ascii="Calibri" w:hAnsi="Calibri"/>
                <w:sz w:val="22"/>
                <w:szCs w:val="22"/>
              </w:rPr>
              <w:t>7</w:t>
            </w:r>
          </w:p>
        </w:tc>
      </w:tr>
    </w:tbl>
    <w:p w:rsidR="00186203" w:rsidRDefault="00186203">
      <w:pPr>
        <w:rPr>
          <w:rFonts w:ascii="Calibri" w:hAnsi="Calibri"/>
          <w:sz w:val="8"/>
          <w:szCs w:val="8"/>
        </w:rPr>
      </w:pPr>
    </w:p>
    <w:p w:rsidR="00186203" w:rsidRDefault="00630A1B">
      <w:pPr>
        <w:pStyle w:val="NormalWeb"/>
        <w:shd w:val="clear" w:color="auto" w:fill="FFFFFF"/>
        <w:spacing w:before="240" w:after="120"/>
        <w:jc w:val="center"/>
        <w:rPr>
          <w:rFonts w:ascii="Calibri" w:hAnsi="Calibri" w:cs="Arial"/>
          <w:b/>
          <w:bCs/>
        </w:rPr>
      </w:pPr>
      <w:r>
        <w:rPr>
          <w:rFonts w:ascii="Calibri" w:hAnsi="Calibri" w:cs="Arial"/>
          <w:b/>
          <w:bCs/>
        </w:rPr>
        <w:t>Car Colors Women Prefer More Than Men in Phoenix</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4" w:type="dxa"/>
          <w:left w:w="43" w:type="dxa"/>
          <w:bottom w:w="14" w:type="dxa"/>
          <w:right w:w="72" w:type="dxa"/>
        </w:tblCellMar>
        <w:tblLook w:val="04A0" w:firstRow="1" w:lastRow="0" w:firstColumn="1" w:lastColumn="0" w:noHBand="0" w:noVBand="1"/>
      </w:tblPr>
      <w:tblGrid>
        <w:gridCol w:w="967"/>
        <w:gridCol w:w="1098"/>
        <w:gridCol w:w="1621"/>
        <w:gridCol w:w="1542"/>
      </w:tblGrid>
      <w:tr w:rsidR="00186203" w:rsidTr="005D216B">
        <w:trPr>
          <w:trHeight w:val="300"/>
          <w:jc w:val="center"/>
        </w:trPr>
        <w:tc>
          <w:tcPr>
            <w:tcW w:w="967" w:type="dxa"/>
            <w:tcBorders>
              <w:top w:val="single" w:sz="4" w:space="0" w:color="00000A"/>
              <w:left w:val="single" w:sz="4" w:space="0" w:color="00000A"/>
              <w:bottom w:val="single" w:sz="4" w:space="0" w:color="00000A"/>
              <w:right w:val="single" w:sz="4" w:space="0" w:color="00000A"/>
            </w:tcBorders>
            <w:shd w:val="clear" w:color="auto" w:fill="DBE5F1"/>
            <w:tcMar>
              <w:left w:w="43" w:type="dxa"/>
            </w:tcMar>
            <w:vAlign w:val="center"/>
          </w:tcPr>
          <w:p w:rsidR="00186203" w:rsidRDefault="00630A1B">
            <w:pPr>
              <w:suppressAutoHyphens w:val="0"/>
              <w:jc w:val="cente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Rank</w:t>
            </w:r>
          </w:p>
        </w:tc>
        <w:tc>
          <w:tcPr>
            <w:tcW w:w="1098" w:type="dxa"/>
            <w:tcBorders>
              <w:top w:val="single" w:sz="4" w:space="0" w:color="00000A"/>
              <w:left w:val="single" w:sz="4" w:space="0" w:color="00000A"/>
              <w:bottom w:val="single" w:sz="4" w:space="0" w:color="00000A"/>
              <w:right w:val="single" w:sz="4" w:space="0" w:color="00000A"/>
            </w:tcBorders>
            <w:shd w:val="clear" w:color="auto" w:fill="DBE5F1"/>
            <w:tcMar>
              <w:left w:w="38" w:type="dxa"/>
            </w:tcMar>
            <w:vAlign w:val="center"/>
          </w:tcPr>
          <w:p w:rsidR="00186203" w:rsidRDefault="00630A1B">
            <w:pPr>
              <w:suppressAutoHyphens w:val="0"/>
              <w:jc w:val="cente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Color</w:t>
            </w:r>
          </w:p>
        </w:tc>
        <w:tc>
          <w:tcPr>
            <w:tcW w:w="1621" w:type="dxa"/>
            <w:tcBorders>
              <w:top w:val="single" w:sz="4" w:space="0" w:color="00000A"/>
              <w:left w:val="single" w:sz="4" w:space="0" w:color="00000A"/>
              <w:bottom w:val="single" w:sz="4" w:space="0" w:color="00000A"/>
              <w:right w:val="single" w:sz="4" w:space="0" w:color="00000A"/>
            </w:tcBorders>
            <w:shd w:val="clear" w:color="auto" w:fill="DBE5F1"/>
            <w:tcMar>
              <w:left w:w="43" w:type="dxa"/>
            </w:tcMar>
            <w:vAlign w:val="center"/>
          </w:tcPr>
          <w:p w:rsidR="00186203" w:rsidRDefault="00630A1B">
            <w:pPr>
              <w:suppressAutoHyphens w:val="0"/>
              <w:jc w:val="cente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Female Bias</w:t>
            </w:r>
          </w:p>
        </w:tc>
        <w:tc>
          <w:tcPr>
            <w:tcW w:w="1542" w:type="dxa"/>
            <w:tcBorders>
              <w:top w:val="single" w:sz="4" w:space="0" w:color="00000A"/>
              <w:left w:val="single" w:sz="4" w:space="0" w:color="00000A"/>
              <w:bottom w:val="single" w:sz="4" w:space="0" w:color="00000A"/>
              <w:right w:val="single" w:sz="4" w:space="0" w:color="00000A"/>
            </w:tcBorders>
            <w:shd w:val="clear" w:color="auto" w:fill="DBE5F1"/>
            <w:vAlign w:val="center"/>
          </w:tcPr>
          <w:p w:rsidR="00186203" w:rsidRDefault="00630A1B">
            <w:pPr>
              <w:suppressAutoHyphens w:val="0"/>
              <w:jc w:val="cente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National Rank</w:t>
            </w:r>
          </w:p>
        </w:tc>
      </w:tr>
      <w:tr w:rsidR="00186203" w:rsidTr="005D216B">
        <w:trPr>
          <w:trHeight w:val="300"/>
          <w:jc w:val="center"/>
        </w:trPr>
        <w:tc>
          <w:tcPr>
            <w:tcW w:w="967"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186203" w:rsidRDefault="00630A1B">
            <w:pPr>
              <w:suppressAutoHyphens w:val="0"/>
              <w:jc w:val="center"/>
              <w:rPr>
                <w:rFonts w:ascii="Calibri" w:hAnsi="Calibri"/>
                <w:color w:val="000000"/>
                <w:sz w:val="22"/>
                <w:szCs w:val="22"/>
              </w:rPr>
            </w:pPr>
            <w:r>
              <w:rPr>
                <w:rFonts w:ascii="Calibri" w:hAnsi="Calibri"/>
                <w:color w:val="000000"/>
                <w:sz w:val="22"/>
                <w:szCs w:val="22"/>
              </w:rPr>
              <w:t>1</w:t>
            </w:r>
          </w:p>
        </w:tc>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38" w:type="dxa"/>
            </w:tcMar>
            <w:vAlign w:val="center"/>
          </w:tcPr>
          <w:p w:rsidR="00186203" w:rsidRDefault="00630A1B">
            <w:pPr>
              <w:suppressAutoHyphens w:val="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Blue</w:t>
            </w:r>
          </w:p>
        </w:tc>
        <w:tc>
          <w:tcPr>
            <w:tcW w:w="1621"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186203" w:rsidRDefault="00630A1B">
            <w:pPr>
              <w:suppressAutoHyphens w:val="0"/>
              <w:jc w:val="center"/>
              <w:rPr>
                <w:rFonts w:ascii="Calibri" w:hAnsi="Calibri"/>
                <w:color w:val="000000"/>
                <w:sz w:val="22"/>
                <w:szCs w:val="22"/>
              </w:rPr>
            </w:pPr>
            <w:r>
              <w:rPr>
                <w:rFonts w:ascii="Calibri" w:hAnsi="Calibri"/>
                <w:color w:val="000000"/>
                <w:sz w:val="22"/>
                <w:szCs w:val="22"/>
              </w:rPr>
              <w:t>28.5%</w:t>
            </w:r>
          </w:p>
        </w:tc>
        <w:tc>
          <w:tcPr>
            <w:tcW w:w="154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186203" w:rsidRDefault="00630A1B">
            <w:pPr>
              <w:suppressAutoHyphens w:val="0"/>
              <w:jc w:val="center"/>
              <w:rPr>
                <w:rFonts w:ascii="Calibri" w:hAnsi="Calibri"/>
                <w:color w:val="000000"/>
                <w:sz w:val="22"/>
                <w:szCs w:val="22"/>
              </w:rPr>
            </w:pPr>
            <w:r>
              <w:rPr>
                <w:rFonts w:ascii="Calibri" w:hAnsi="Calibri"/>
                <w:color w:val="000000"/>
                <w:sz w:val="22"/>
                <w:szCs w:val="22"/>
              </w:rPr>
              <w:t>4</w:t>
            </w:r>
          </w:p>
        </w:tc>
      </w:tr>
      <w:tr w:rsidR="00186203" w:rsidTr="005D216B">
        <w:trPr>
          <w:trHeight w:val="300"/>
          <w:jc w:val="center"/>
        </w:trPr>
        <w:tc>
          <w:tcPr>
            <w:tcW w:w="967"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186203" w:rsidRDefault="00630A1B">
            <w:pPr>
              <w:suppressAutoHyphens w:val="0"/>
              <w:jc w:val="center"/>
              <w:rPr>
                <w:rFonts w:ascii="Calibri" w:hAnsi="Calibri"/>
                <w:color w:val="000000"/>
                <w:sz w:val="22"/>
                <w:szCs w:val="22"/>
              </w:rPr>
            </w:pPr>
            <w:r>
              <w:rPr>
                <w:rFonts w:ascii="Calibri" w:hAnsi="Calibri"/>
                <w:color w:val="000000"/>
                <w:sz w:val="22"/>
                <w:szCs w:val="22"/>
              </w:rPr>
              <w:t>2</w:t>
            </w:r>
          </w:p>
        </w:tc>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38" w:type="dxa"/>
            </w:tcMar>
            <w:vAlign w:val="center"/>
          </w:tcPr>
          <w:p w:rsidR="00186203" w:rsidRDefault="00630A1B">
            <w:pPr>
              <w:suppressAutoHyphens w:val="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Gold</w:t>
            </w:r>
          </w:p>
        </w:tc>
        <w:tc>
          <w:tcPr>
            <w:tcW w:w="1621"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186203" w:rsidRDefault="00630A1B">
            <w:pPr>
              <w:suppressAutoHyphens w:val="0"/>
              <w:jc w:val="center"/>
              <w:rPr>
                <w:rFonts w:ascii="Calibri" w:hAnsi="Calibri"/>
                <w:color w:val="000000"/>
                <w:sz w:val="22"/>
                <w:szCs w:val="22"/>
              </w:rPr>
            </w:pPr>
            <w:r>
              <w:rPr>
                <w:rFonts w:ascii="Calibri" w:hAnsi="Calibri"/>
                <w:color w:val="000000"/>
                <w:sz w:val="22"/>
                <w:szCs w:val="22"/>
              </w:rPr>
              <w:t>10.3%</w:t>
            </w:r>
          </w:p>
        </w:tc>
        <w:tc>
          <w:tcPr>
            <w:tcW w:w="154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186203" w:rsidRDefault="00630A1B">
            <w:pPr>
              <w:suppressAutoHyphens w:val="0"/>
              <w:jc w:val="center"/>
              <w:rPr>
                <w:rFonts w:ascii="Calibri" w:hAnsi="Calibri"/>
                <w:color w:val="000000"/>
                <w:sz w:val="22"/>
                <w:szCs w:val="22"/>
              </w:rPr>
            </w:pPr>
            <w:r>
              <w:rPr>
                <w:rFonts w:ascii="Calibri" w:hAnsi="Calibri"/>
                <w:color w:val="000000"/>
                <w:sz w:val="22"/>
                <w:szCs w:val="22"/>
              </w:rPr>
              <w:t>2</w:t>
            </w:r>
          </w:p>
        </w:tc>
      </w:tr>
      <w:tr w:rsidR="00186203" w:rsidTr="005D216B">
        <w:trPr>
          <w:trHeight w:val="300"/>
          <w:jc w:val="center"/>
        </w:trPr>
        <w:tc>
          <w:tcPr>
            <w:tcW w:w="967"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186203" w:rsidRDefault="00630A1B">
            <w:pPr>
              <w:suppressAutoHyphens w:val="0"/>
              <w:jc w:val="center"/>
              <w:rPr>
                <w:rFonts w:ascii="Calibri" w:hAnsi="Calibri"/>
                <w:color w:val="000000"/>
                <w:sz w:val="22"/>
                <w:szCs w:val="22"/>
              </w:rPr>
            </w:pPr>
            <w:r>
              <w:rPr>
                <w:rFonts w:ascii="Calibri" w:hAnsi="Calibri"/>
                <w:color w:val="000000"/>
                <w:sz w:val="22"/>
                <w:szCs w:val="22"/>
              </w:rPr>
              <w:t>3</w:t>
            </w:r>
          </w:p>
        </w:tc>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38" w:type="dxa"/>
            </w:tcMar>
            <w:vAlign w:val="center"/>
          </w:tcPr>
          <w:p w:rsidR="00186203" w:rsidRDefault="00630A1B">
            <w:pPr>
              <w:suppressAutoHyphens w:val="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Gray</w:t>
            </w:r>
          </w:p>
        </w:tc>
        <w:tc>
          <w:tcPr>
            <w:tcW w:w="1621"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186203" w:rsidRDefault="00630A1B">
            <w:pPr>
              <w:suppressAutoHyphens w:val="0"/>
              <w:jc w:val="center"/>
              <w:rPr>
                <w:rFonts w:ascii="Calibri" w:hAnsi="Calibri"/>
                <w:color w:val="000000"/>
                <w:sz w:val="22"/>
                <w:szCs w:val="22"/>
              </w:rPr>
            </w:pPr>
            <w:r>
              <w:rPr>
                <w:rFonts w:ascii="Calibri" w:hAnsi="Calibri"/>
                <w:color w:val="000000"/>
                <w:sz w:val="22"/>
                <w:szCs w:val="22"/>
              </w:rPr>
              <w:t>8.7%</w:t>
            </w:r>
          </w:p>
        </w:tc>
        <w:tc>
          <w:tcPr>
            <w:tcW w:w="154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186203" w:rsidRDefault="00630A1B">
            <w:pPr>
              <w:suppressAutoHyphens w:val="0"/>
              <w:jc w:val="center"/>
              <w:rPr>
                <w:rFonts w:ascii="Calibri" w:hAnsi="Calibri"/>
                <w:color w:val="000000"/>
                <w:sz w:val="22"/>
                <w:szCs w:val="22"/>
              </w:rPr>
            </w:pPr>
            <w:r>
              <w:rPr>
                <w:rFonts w:ascii="Calibri" w:hAnsi="Calibri"/>
                <w:color w:val="000000"/>
                <w:sz w:val="22"/>
                <w:szCs w:val="22"/>
              </w:rPr>
              <w:t>7</w:t>
            </w:r>
          </w:p>
        </w:tc>
      </w:tr>
      <w:tr w:rsidR="00186203" w:rsidTr="005D216B">
        <w:trPr>
          <w:trHeight w:val="300"/>
          <w:jc w:val="center"/>
        </w:trPr>
        <w:tc>
          <w:tcPr>
            <w:tcW w:w="967"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186203" w:rsidRDefault="00630A1B">
            <w:pPr>
              <w:suppressAutoHyphens w:val="0"/>
              <w:jc w:val="center"/>
              <w:rPr>
                <w:rFonts w:ascii="Calibri" w:hAnsi="Calibri"/>
                <w:color w:val="000000"/>
                <w:sz w:val="22"/>
                <w:szCs w:val="22"/>
              </w:rPr>
            </w:pPr>
            <w:r>
              <w:rPr>
                <w:rFonts w:ascii="Calibri" w:hAnsi="Calibri"/>
                <w:color w:val="000000"/>
                <w:sz w:val="22"/>
                <w:szCs w:val="22"/>
              </w:rPr>
              <w:t>4</w:t>
            </w:r>
          </w:p>
        </w:tc>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38" w:type="dxa"/>
            </w:tcMar>
            <w:vAlign w:val="center"/>
          </w:tcPr>
          <w:p w:rsidR="00186203" w:rsidRDefault="00630A1B">
            <w:pPr>
              <w:suppressAutoHyphens w:val="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Silver</w:t>
            </w:r>
          </w:p>
        </w:tc>
        <w:tc>
          <w:tcPr>
            <w:tcW w:w="1621"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186203" w:rsidRDefault="00630A1B">
            <w:pPr>
              <w:suppressAutoHyphens w:val="0"/>
              <w:jc w:val="center"/>
              <w:rPr>
                <w:rFonts w:ascii="Calibri" w:hAnsi="Calibri"/>
                <w:color w:val="000000"/>
                <w:sz w:val="22"/>
                <w:szCs w:val="22"/>
              </w:rPr>
            </w:pPr>
            <w:r>
              <w:rPr>
                <w:rFonts w:ascii="Calibri" w:hAnsi="Calibri"/>
                <w:color w:val="000000"/>
                <w:sz w:val="22"/>
                <w:szCs w:val="22"/>
              </w:rPr>
              <w:t>0.5%</w:t>
            </w:r>
          </w:p>
        </w:tc>
        <w:tc>
          <w:tcPr>
            <w:tcW w:w="154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186203" w:rsidRDefault="00630A1B">
            <w:pPr>
              <w:suppressAutoHyphens w:val="0"/>
              <w:jc w:val="center"/>
              <w:rPr>
                <w:rFonts w:ascii="Calibri" w:hAnsi="Calibri"/>
                <w:color w:val="000000"/>
                <w:sz w:val="22"/>
                <w:szCs w:val="22"/>
              </w:rPr>
            </w:pPr>
            <w:r>
              <w:rPr>
                <w:rFonts w:ascii="Calibri" w:hAnsi="Calibri"/>
                <w:color w:val="000000"/>
                <w:sz w:val="22"/>
                <w:szCs w:val="22"/>
              </w:rPr>
              <w:t>3</w:t>
            </w:r>
          </w:p>
        </w:tc>
      </w:tr>
    </w:tbl>
    <w:p w:rsidR="00186203" w:rsidRPr="005D216B" w:rsidRDefault="00630A1B">
      <w:pPr>
        <w:rPr>
          <w:rStyle w:val="InternetLink"/>
          <w:rFonts w:ascii="Calibri" w:hAnsi="Calibri"/>
          <w:color w:val="00000A"/>
          <w:sz w:val="28"/>
          <w:szCs w:val="28"/>
          <w:u w:val="none"/>
        </w:rPr>
      </w:pPr>
      <w:r>
        <w:rPr>
          <w:rStyle w:val="InternetLink"/>
          <w:rFonts w:ascii="Calibri" w:hAnsi="Calibri"/>
          <w:color w:val="00000A"/>
          <w:u w:val="none"/>
        </w:rPr>
        <w:t xml:space="preserve">    </w:t>
      </w:r>
    </w:p>
    <w:p w:rsidR="00186203" w:rsidRDefault="00630A1B">
      <w:pPr>
        <w:rPr>
          <w:rFonts w:ascii="Calibri" w:hAnsi="Calibri"/>
        </w:rPr>
      </w:pPr>
      <w:r>
        <w:rPr>
          <w:rFonts w:ascii="Calibri" w:hAnsi="Calibri"/>
        </w:rPr>
        <w:t xml:space="preserve">The automotive data and research company also recently released the results of its national </w:t>
      </w:r>
      <w:hyperlink r:id="rId9" w:anchor="section=studies&amp;study=car-colors" w:history="1">
        <w:r w:rsidR="002A3193" w:rsidRPr="002A3193">
          <w:rPr>
            <w:rStyle w:val="Hyperlink"/>
            <w:rFonts w:ascii="Calibri" w:hAnsi="Calibri"/>
            <w:u w:val="none"/>
          </w:rPr>
          <w:t>Car Color Preferences by Gender</w:t>
        </w:r>
      </w:hyperlink>
      <w:r w:rsidR="002A3193">
        <w:rPr>
          <w:rFonts w:ascii="Calibri" w:hAnsi="Calibri"/>
        </w:rPr>
        <w:t xml:space="preserve"> </w:t>
      </w:r>
      <w:r>
        <w:rPr>
          <w:rFonts w:ascii="Calibri" w:hAnsi="Calibri"/>
        </w:rPr>
        <w:t xml:space="preserve">study, which found that men have much stronger preferences than women do for their favorite car colors. </w:t>
      </w:r>
    </w:p>
    <w:p w:rsidR="00186203" w:rsidRDefault="00186203">
      <w:pPr>
        <w:rPr>
          <w:rFonts w:ascii="Calibri" w:hAnsi="Calibri"/>
          <w:color w:val="00000A"/>
          <w:sz w:val="8"/>
          <w:szCs w:val="8"/>
        </w:rPr>
      </w:pPr>
    </w:p>
    <w:p w:rsidR="00186203" w:rsidRDefault="00186203">
      <w:pPr>
        <w:rPr>
          <w:rFonts w:ascii="Calibri" w:hAnsi="Calibri"/>
        </w:rPr>
      </w:pPr>
    </w:p>
    <w:p w:rsidR="00186203" w:rsidRPr="0080541B" w:rsidRDefault="00630A1B">
      <w:pPr>
        <w:rPr>
          <w:rFonts w:ascii="Calibri" w:hAnsi="Calibri"/>
          <w:b/>
        </w:rPr>
      </w:pPr>
      <w:r w:rsidRPr="0080541B">
        <w:rPr>
          <w:rFonts w:ascii="Calibri" w:hAnsi="Calibri"/>
          <w:b/>
        </w:rPr>
        <w:t>Favorite Car Colors in Phoenix</w:t>
      </w:r>
    </w:p>
    <w:p w:rsidR="00186203" w:rsidRDefault="00186203">
      <w:pPr>
        <w:rPr>
          <w:rFonts w:ascii="Calibri" w:hAnsi="Calibri"/>
          <w:b/>
        </w:rPr>
      </w:pPr>
    </w:p>
    <w:p w:rsidR="00186203" w:rsidRDefault="00630A1B">
      <w:pPr>
        <w:rPr>
          <w:rFonts w:ascii="Calibri" w:hAnsi="Calibri"/>
        </w:rPr>
      </w:pPr>
      <w:r>
        <w:rPr>
          <w:rFonts w:ascii="Calibri" w:hAnsi="Calibri"/>
        </w:rPr>
        <w:t xml:space="preserve">“If you compare prices for pre-owned cars in Phoenix, the average price for men’s favorite colors is 11.6 percent more expensive than women’s favorite colors. The national average for the same price comparison is higher, at 21.6 percent more for men’s favorite colors,” said </w:t>
      </w:r>
      <w:proofErr w:type="spellStart"/>
      <w:r>
        <w:rPr>
          <w:rFonts w:ascii="Calibri" w:hAnsi="Calibri"/>
        </w:rPr>
        <w:t>Phong</w:t>
      </w:r>
      <w:proofErr w:type="spellEnd"/>
      <w:r>
        <w:rPr>
          <w:rFonts w:ascii="Calibri" w:hAnsi="Calibri"/>
        </w:rPr>
        <w:t xml:space="preserve"> Ly, iSeeCars.com CEO.</w:t>
      </w:r>
    </w:p>
    <w:p w:rsidR="00186203" w:rsidRDefault="00186203">
      <w:pPr>
        <w:rPr>
          <w:rFonts w:ascii="Calibri" w:hAnsi="Calibri"/>
        </w:rPr>
      </w:pPr>
    </w:p>
    <w:p w:rsidR="00186203" w:rsidRDefault="005D216B">
      <w:pPr>
        <w:pStyle w:val="ListParagraph"/>
        <w:numPr>
          <w:ilvl w:val="0"/>
          <w:numId w:val="1"/>
        </w:numPr>
        <w:spacing w:after="40"/>
        <w:rPr>
          <w:rFonts w:ascii="Calibri" w:hAnsi="Calibri"/>
        </w:rPr>
      </w:pPr>
      <w:r>
        <w:rPr>
          <w:rFonts w:ascii="Calibri" w:hAnsi="Calibri"/>
        </w:rPr>
        <w:t xml:space="preserve">Phoenix men </w:t>
      </w:r>
      <w:r w:rsidR="00630A1B">
        <w:rPr>
          <w:rFonts w:ascii="Calibri" w:hAnsi="Calibri"/>
        </w:rPr>
        <w:t xml:space="preserve">have a stronger preference for more colors than </w:t>
      </w:r>
      <w:r>
        <w:rPr>
          <w:rFonts w:ascii="Calibri" w:hAnsi="Calibri"/>
        </w:rPr>
        <w:t xml:space="preserve">Phoenix </w:t>
      </w:r>
      <w:r w:rsidR="00630A1B">
        <w:rPr>
          <w:rFonts w:ascii="Calibri" w:hAnsi="Calibri"/>
        </w:rPr>
        <w:t xml:space="preserve">women do – six compared to four. </w:t>
      </w:r>
    </w:p>
    <w:p w:rsidR="00186203" w:rsidRDefault="002A3193">
      <w:pPr>
        <w:pStyle w:val="ListParagraph"/>
        <w:numPr>
          <w:ilvl w:val="0"/>
          <w:numId w:val="1"/>
        </w:numPr>
        <w:spacing w:after="40"/>
        <w:rPr>
          <w:rFonts w:ascii="Calibri" w:hAnsi="Calibri"/>
        </w:rPr>
      </w:pPr>
      <w:r>
        <w:rPr>
          <w:rFonts w:ascii="Calibri" w:hAnsi="Calibri"/>
        </w:rPr>
        <w:t xml:space="preserve">Women’s top three favorite colors preferred more than men </w:t>
      </w:r>
      <w:r w:rsidR="00630A1B">
        <w:rPr>
          <w:rFonts w:ascii="Calibri" w:hAnsi="Calibri"/>
        </w:rPr>
        <w:t xml:space="preserve">are blue </w:t>
      </w:r>
      <w:r>
        <w:rPr>
          <w:rFonts w:ascii="Calibri" w:hAnsi="Calibri"/>
        </w:rPr>
        <w:t>by</w:t>
      </w:r>
      <w:r w:rsidR="00630A1B">
        <w:rPr>
          <w:rFonts w:ascii="Calibri" w:hAnsi="Calibri"/>
        </w:rPr>
        <w:t xml:space="preserve"> 28.5 percent, followed by gold (10.3 percent) and gray (8.7 percent).  </w:t>
      </w:r>
    </w:p>
    <w:p w:rsidR="00186203" w:rsidRDefault="00630A1B">
      <w:pPr>
        <w:pStyle w:val="ListParagraph"/>
        <w:numPr>
          <w:ilvl w:val="0"/>
          <w:numId w:val="1"/>
        </w:numPr>
        <w:spacing w:after="40"/>
        <w:rPr>
          <w:rFonts w:ascii="Calibri" w:hAnsi="Calibri"/>
        </w:rPr>
      </w:pPr>
      <w:r>
        <w:rPr>
          <w:rFonts w:ascii="Calibri" w:hAnsi="Calibri"/>
        </w:rPr>
        <w:lastRenderedPageBreak/>
        <w:t xml:space="preserve">Men have a stronger preference than women do for black cars </w:t>
      </w:r>
      <w:r w:rsidR="002A3193">
        <w:rPr>
          <w:rFonts w:ascii="Calibri" w:hAnsi="Calibri"/>
        </w:rPr>
        <w:t>by</w:t>
      </w:r>
      <w:r>
        <w:rPr>
          <w:rFonts w:ascii="Calibri" w:hAnsi="Calibri"/>
        </w:rPr>
        <w:t xml:space="preserve"> </w:t>
      </w:r>
      <w:r w:rsidR="002A3193">
        <w:rPr>
          <w:rFonts w:ascii="Calibri" w:hAnsi="Calibri"/>
        </w:rPr>
        <w:t>19.2</w:t>
      </w:r>
      <w:r>
        <w:rPr>
          <w:rFonts w:ascii="Calibri" w:hAnsi="Calibri"/>
        </w:rPr>
        <w:t>, followed by beige (12.7 percent) and red (11.5 percent).</w:t>
      </w:r>
    </w:p>
    <w:p w:rsidR="00186203" w:rsidRPr="005D216B" w:rsidRDefault="00630A1B" w:rsidP="005D216B">
      <w:pPr>
        <w:pStyle w:val="ListParagraph"/>
        <w:numPr>
          <w:ilvl w:val="0"/>
          <w:numId w:val="1"/>
        </w:numPr>
        <w:spacing w:after="40"/>
        <w:rPr>
          <w:rFonts w:ascii="Calibri" w:hAnsi="Calibri"/>
        </w:rPr>
      </w:pPr>
      <w:r>
        <w:rPr>
          <w:rFonts w:ascii="Calibri" w:hAnsi="Calibri"/>
        </w:rPr>
        <w:t xml:space="preserve">The average used car price for the colors men prefer is $19,340 compared to $17,336 for the colors women prefer. Average prices for men and women’s national favorite car colors are $18,196 and $14,938, respectively. </w:t>
      </w:r>
    </w:p>
    <w:p w:rsidR="00186203" w:rsidRDefault="00186203">
      <w:pPr>
        <w:rPr>
          <w:rFonts w:ascii="Calibri" w:hAnsi="Calibri"/>
          <w:sz w:val="8"/>
          <w:szCs w:val="8"/>
        </w:rPr>
      </w:pPr>
    </w:p>
    <w:p w:rsidR="00186203" w:rsidRDefault="00186203">
      <w:pPr>
        <w:rPr>
          <w:rFonts w:ascii="Calibri" w:hAnsi="Calibri"/>
        </w:rPr>
      </w:pPr>
    </w:p>
    <w:p w:rsidR="00186203" w:rsidRPr="0080541B" w:rsidRDefault="00630A1B">
      <w:pPr>
        <w:rPr>
          <w:rFonts w:ascii="Calibri" w:hAnsi="Calibri"/>
          <w:b/>
        </w:rPr>
      </w:pPr>
      <w:r w:rsidRPr="0080541B">
        <w:rPr>
          <w:rFonts w:ascii="Calibri" w:hAnsi="Calibri"/>
          <w:b/>
        </w:rPr>
        <w:t>Top 5 Favorite Cars in Phoenix</w:t>
      </w:r>
    </w:p>
    <w:p w:rsidR="00186203" w:rsidRDefault="00186203">
      <w:pPr>
        <w:rPr>
          <w:rFonts w:ascii="Calibri" w:hAnsi="Calibri"/>
        </w:rPr>
      </w:pPr>
    </w:p>
    <w:p w:rsidR="00186203" w:rsidRDefault="00630A1B">
      <w:pPr>
        <w:spacing w:after="40"/>
        <w:rPr>
          <w:rFonts w:ascii="Calibri" w:hAnsi="Calibri"/>
        </w:rPr>
      </w:pPr>
      <w:r>
        <w:rPr>
          <w:rFonts w:ascii="Calibri" w:hAnsi="Calibri"/>
        </w:rPr>
        <w:t>National data shows that men have stronger preferences for coupes, convertibles and pickup trucks, while women prefer wagons, SUVs and minivans. Local preferences for car</w:t>
      </w:r>
      <w:r w:rsidR="0080541B">
        <w:rPr>
          <w:rFonts w:ascii="Calibri" w:hAnsi="Calibri"/>
        </w:rPr>
        <w:t xml:space="preserve"> models</w:t>
      </w:r>
      <w:r>
        <w:rPr>
          <w:rFonts w:ascii="Calibri" w:hAnsi="Calibri"/>
        </w:rPr>
        <w:t xml:space="preserve"> are listed below.</w:t>
      </w:r>
    </w:p>
    <w:p w:rsidR="00186203" w:rsidRDefault="00186203">
      <w:pPr>
        <w:spacing w:after="40"/>
        <w:rPr>
          <w:rFonts w:ascii="Calibri" w:hAnsi="Calibri"/>
        </w:rPr>
      </w:pPr>
    </w:p>
    <w:p w:rsidR="00186203" w:rsidRDefault="00630A1B">
      <w:pPr>
        <w:pStyle w:val="ListParagraph"/>
        <w:numPr>
          <w:ilvl w:val="0"/>
          <w:numId w:val="2"/>
        </w:numPr>
        <w:spacing w:after="40"/>
        <w:rPr>
          <w:rFonts w:ascii="Calibri" w:hAnsi="Calibri"/>
        </w:rPr>
      </w:pPr>
      <w:r>
        <w:rPr>
          <w:rFonts w:ascii="Calibri" w:hAnsi="Calibri"/>
        </w:rPr>
        <w:t xml:space="preserve">Phoenix men like the Chevrolet Impala 95.2 percent more than Phoenix women do, followed by the Honda Civic (78.4 percent) and Chevrolet Silverado 1500 (53.0 percent). </w:t>
      </w:r>
    </w:p>
    <w:p w:rsidR="00186203" w:rsidRDefault="00630A1B">
      <w:pPr>
        <w:pStyle w:val="ListParagraph"/>
        <w:numPr>
          <w:ilvl w:val="0"/>
          <w:numId w:val="2"/>
        </w:numPr>
        <w:spacing w:after="40"/>
        <w:rPr>
          <w:rFonts w:ascii="Calibri" w:hAnsi="Calibri"/>
        </w:rPr>
      </w:pPr>
      <w:r>
        <w:rPr>
          <w:rFonts w:ascii="Calibri" w:hAnsi="Calibri"/>
        </w:rPr>
        <w:t xml:space="preserve">The top three cars women are more interested in than men are the Toyota Camry by 92.9 percent, BMW 3 Series (51.7 percent) and Ford Explorer (50.5 percent). </w:t>
      </w:r>
    </w:p>
    <w:p w:rsidR="00186203" w:rsidRDefault="00630A1B">
      <w:pPr>
        <w:pStyle w:val="ListParagraph"/>
        <w:numPr>
          <w:ilvl w:val="0"/>
          <w:numId w:val="2"/>
        </w:numPr>
        <w:spacing w:after="40"/>
        <w:rPr>
          <w:rFonts w:ascii="Calibri" w:hAnsi="Calibri"/>
        </w:rPr>
      </w:pPr>
      <w:r>
        <w:rPr>
          <w:rFonts w:ascii="Calibri" w:hAnsi="Calibri"/>
        </w:rPr>
        <w:t>Cars women prefer are 10.4 percent more expensive. The average used price for women’s favorite cars in Phoenix is $16,243 compared to $14,711 for men’s favorites.</w:t>
      </w:r>
    </w:p>
    <w:p w:rsidR="00186203" w:rsidRDefault="00186203">
      <w:pPr>
        <w:rPr>
          <w:rFonts w:ascii="Calibri" w:hAnsi="Calibri"/>
          <w:sz w:val="8"/>
          <w:szCs w:val="8"/>
        </w:rPr>
      </w:pPr>
    </w:p>
    <w:p w:rsidR="00186203" w:rsidRDefault="00630A1B">
      <w:pPr>
        <w:pStyle w:val="NormalWeb"/>
        <w:shd w:val="clear" w:color="auto" w:fill="FFFFFF"/>
        <w:spacing w:before="240" w:after="120"/>
        <w:jc w:val="center"/>
        <w:rPr>
          <w:rFonts w:ascii="Calibri" w:hAnsi="Calibri" w:cs="Arial"/>
          <w:b/>
          <w:bCs/>
        </w:rPr>
      </w:pPr>
      <w:r>
        <w:rPr>
          <w:rFonts w:ascii="Calibri" w:hAnsi="Calibri" w:cs="Arial"/>
          <w:b/>
          <w:bCs/>
        </w:rPr>
        <w:t>Cars Men Prefer More Than Women in Phoenix</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4" w:type="dxa"/>
          <w:left w:w="43" w:type="dxa"/>
          <w:bottom w:w="14" w:type="dxa"/>
          <w:right w:w="72" w:type="dxa"/>
        </w:tblCellMar>
        <w:tblLook w:val="04A0" w:firstRow="1" w:lastRow="0" w:firstColumn="1" w:lastColumn="0" w:noHBand="0" w:noVBand="1"/>
      </w:tblPr>
      <w:tblGrid>
        <w:gridCol w:w="1125"/>
        <w:gridCol w:w="2526"/>
        <w:gridCol w:w="1674"/>
        <w:gridCol w:w="1622"/>
      </w:tblGrid>
      <w:tr w:rsidR="00186203">
        <w:trPr>
          <w:trHeight w:val="300"/>
          <w:jc w:val="center"/>
        </w:trPr>
        <w:tc>
          <w:tcPr>
            <w:tcW w:w="1125" w:type="dxa"/>
            <w:tcBorders>
              <w:top w:val="single" w:sz="4" w:space="0" w:color="00000A"/>
              <w:left w:val="single" w:sz="4" w:space="0" w:color="00000A"/>
              <w:bottom w:val="single" w:sz="4" w:space="0" w:color="00000A"/>
              <w:right w:val="single" w:sz="4" w:space="0" w:color="00000A"/>
            </w:tcBorders>
            <w:shd w:val="clear" w:color="auto" w:fill="DBE5F1"/>
            <w:tcMar>
              <w:left w:w="43" w:type="dxa"/>
            </w:tcMar>
            <w:vAlign w:val="center"/>
          </w:tcPr>
          <w:p w:rsidR="00186203" w:rsidRDefault="00630A1B">
            <w:pPr>
              <w:suppressAutoHyphens w:val="0"/>
              <w:jc w:val="cente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Rank</w:t>
            </w:r>
          </w:p>
        </w:tc>
        <w:tc>
          <w:tcPr>
            <w:tcW w:w="2526" w:type="dxa"/>
            <w:tcBorders>
              <w:top w:val="single" w:sz="4" w:space="0" w:color="00000A"/>
              <w:left w:val="single" w:sz="4" w:space="0" w:color="00000A"/>
              <w:bottom w:val="single" w:sz="4" w:space="0" w:color="00000A"/>
              <w:right w:val="single" w:sz="4" w:space="0" w:color="00000A"/>
            </w:tcBorders>
            <w:shd w:val="clear" w:color="auto" w:fill="DBE5F1"/>
            <w:tcMar>
              <w:left w:w="38" w:type="dxa"/>
            </w:tcMar>
            <w:vAlign w:val="center"/>
          </w:tcPr>
          <w:p w:rsidR="00186203" w:rsidRDefault="00630A1B">
            <w:pPr>
              <w:suppressAutoHyphens w:val="0"/>
              <w:jc w:val="cente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Car</w:t>
            </w:r>
          </w:p>
        </w:tc>
        <w:tc>
          <w:tcPr>
            <w:tcW w:w="1674" w:type="dxa"/>
            <w:tcBorders>
              <w:top w:val="single" w:sz="4" w:space="0" w:color="00000A"/>
              <w:left w:val="single" w:sz="4" w:space="0" w:color="00000A"/>
              <w:bottom w:val="single" w:sz="4" w:space="0" w:color="00000A"/>
              <w:right w:val="single" w:sz="4" w:space="0" w:color="00000A"/>
            </w:tcBorders>
            <w:shd w:val="clear" w:color="auto" w:fill="DBE5F1"/>
            <w:tcMar>
              <w:left w:w="43" w:type="dxa"/>
            </w:tcMar>
            <w:vAlign w:val="center"/>
          </w:tcPr>
          <w:p w:rsidR="00186203" w:rsidRDefault="00630A1B">
            <w:pPr>
              <w:suppressAutoHyphens w:val="0"/>
              <w:jc w:val="cente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Male Bias</w:t>
            </w:r>
          </w:p>
        </w:tc>
        <w:tc>
          <w:tcPr>
            <w:tcW w:w="1622" w:type="dxa"/>
            <w:tcBorders>
              <w:top w:val="single" w:sz="4" w:space="0" w:color="00000A"/>
              <w:left w:val="single" w:sz="4" w:space="0" w:color="00000A"/>
              <w:bottom w:val="single" w:sz="4" w:space="0" w:color="00000A"/>
              <w:right w:val="single" w:sz="4" w:space="0" w:color="00000A"/>
            </w:tcBorders>
            <w:shd w:val="clear" w:color="auto" w:fill="DBE5F1"/>
            <w:vAlign w:val="center"/>
          </w:tcPr>
          <w:p w:rsidR="00186203" w:rsidRDefault="00630A1B">
            <w:pPr>
              <w:suppressAutoHyphens w:val="0"/>
              <w:jc w:val="cente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Average Price*</w:t>
            </w:r>
          </w:p>
        </w:tc>
      </w:tr>
      <w:tr w:rsidR="00186203">
        <w:trPr>
          <w:trHeight w:val="300"/>
          <w:jc w:val="center"/>
        </w:trPr>
        <w:tc>
          <w:tcPr>
            <w:tcW w:w="112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186203" w:rsidRDefault="00630A1B">
            <w:pPr>
              <w:suppressAutoHyphens w:val="0"/>
              <w:jc w:val="center"/>
              <w:rPr>
                <w:rFonts w:ascii="Calibri" w:hAnsi="Calibri"/>
                <w:sz w:val="22"/>
                <w:szCs w:val="22"/>
              </w:rPr>
            </w:pPr>
            <w:r>
              <w:rPr>
                <w:rFonts w:ascii="Calibri" w:hAnsi="Calibri"/>
                <w:sz w:val="22"/>
                <w:szCs w:val="22"/>
              </w:rPr>
              <w:t>1</w:t>
            </w:r>
          </w:p>
        </w:tc>
        <w:tc>
          <w:tcPr>
            <w:tcW w:w="252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vAlign w:val="center"/>
          </w:tcPr>
          <w:p w:rsidR="00186203" w:rsidRDefault="00E45F2B">
            <w:pPr>
              <w:suppressAutoHyphens w:val="0"/>
              <w:rPr>
                <w:rStyle w:val="InternetLink"/>
                <w:rFonts w:ascii="Calibri" w:eastAsia="Times New Roman" w:hAnsi="Calibri" w:cs="Times New Roman"/>
                <w:color w:val="00000A"/>
                <w:sz w:val="22"/>
                <w:szCs w:val="22"/>
                <w:u w:val="none"/>
              </w:rPr>
            </w:pPr>
            <w:hyperlink r:id="rId10">
              <w:r w:rsidR="00630A1B">
                <w:rPr>
                  <w:rStyle w:val="InternetLink"/>
                  <w:rFonts w:ascii="Calibri" w:eastAsia="Times New Roman" w:hAnsi="Calibri" w:cs="Times New Roman"/>
                  <w:color w:val="00000A"/>
                  <w:sz w:val="22"/>
                  <w:szCs w:val="22"/>
                  <w:u w:val="none"/>
                </w:rPr>
                <w:t>Chevrolet Impala</w:t>
              </w:r>
            </w:hyperlink>
          </w:p>
        </w:tc>
        <w:tc>
          <w:tcPr>
            <w:tcW w:w="1674"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186203" w:rsidRDefault="00630A1B">
            <w:pPr>
              <w:suppressAutoHyphens w:val="0"/>
              <w:jc w:val="center"/>
              <w:rPr>
                <w:rFonts w:ascii="Calibri" w:hAnsi="Calibri"/>
                <w:color w:val="000000"/>
                <w:sz w:val="22"/>
                <w:szCs w:val="22"/>
              </w:rPr>
            </w:pPr>
            <w:r>
              <w:rPr>
                <w:rFonts w:ascii="Calibri" w:hAnsi="Calibri"/>
                <w:color w:val="000000"/>
                <w:sz w:val="22"/>
                <w:szCs w:val="22"/>
              </w:rPr>
              <w:t>95.2%</w:t>
            </w:r>
          </w:p>
        </w:tc>
        <w:tc>
          <w:tcPr>
            <w:tcW w:w="162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186203" w:rsidRDefault="00630A1B">
            <w:pPr>
              <w:suppressAutoHyphens w:val="0"/>
              <w:jc w:val="center"/>
              <w:rPr>
                <w:rFonts w:ascii="Calibri" w:hAnsi="Calibri"/>
                <w:color w:val="000000"/>
                <w:sz w:val="22"/>
                <w:szCs w:val="22"/>
              </w:rPr>
            </w:pPr>
            <w:r>
              <w:rPr>
                <w:rFonts w:ascii="Calibri" w:hAnsi="Calibri"/>
                <w:color w:val="000000"/>
                <w:sz w:val="22"/>
                <w:szCs w:val="22"/>
              </w:rPr>
              <w:t>$13,105</w:t>
            </w:r>
          </w:p>
        </w:tc>
      </w:tr>
      <w:tr w:rsidR="00186203">
        <w:trPr>
          <w:trHeight w:val="300"/>
          <w:jc w:val="center"/>
        </w:trPr>
        <w:tc>
          <w:tcPr>
            <w:tcW w:w="112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186203" w:rsidRDefault="00630A1B">
            <w:pPr>
              <w:suppressAutoHyphens w:val="0"/>
              <w:jc w:val="center"/>
              <w:rPr>
                <w:rFonts w:ascii="Calibri" w:hAnsi="Calibri"/>
                <w:sz w:val="22"/>
                <w:szCs w:val="22"/>
              </w:rPr>
            </w:pPr>
            <w:r>
              <w:rPr>
                <w:rFonts w:ascii="Calibri" w:hAnsi="Calibri"/>
                <w:sz w:val="22"/>
                <w:szCs w:val="22"/>
              </w:rPr>
              <w:t>2</w:t>
            </w:r>
          </w:p>
        </w:tc>
        <w:tc>
          <w:tcPr>
            <w:tcW w:w="252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vAlign w:val="center"/>
          </w:tcPr>
          <w:p w:rsidR="00186203" w:rsidRDefault="00E45F2B">
            <w:pPr>
              <w:suppressAutoHyphens w:val="0"/>
              <w:rPr>
                <w:rStyle w:val="InternetLink"/>
                <w:rFonts w:ascii="Calibri" w:hAnsi="Calibri"/>
                <w:color w:val="00000A"/>
                <w:sz w:val="22"/>
                <w:szCs w:val="22"/>
                <w:u w:val="none"/>
              </w:rPr>
            </w:pPr>
            <w:hyperlink r:id="rId11">
              <w:r w:rsidR="00630A1B">
                <w:rPr>
                  <w:rStyle w:val="InternetLink"/>
                  <w:rFonts w:ascii="Calibri" w:hAnsi="Calibri"/>
                  <w:color w:val="00000A"/>
                  <w:sz w:val="22"/>
                  <w:szCs w:val="22"/>
                  <w:u w:val="none"/>
                </w:rPr>
                <w:t>Honda Civic</w:t>
              </w:r>
            </w:hyperlink>
          </w:p>
        </w:tc>
        <w:tc>
          <w:tcPr>
            <w:tcW w:w="1674"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186203" w:rsidRDefault="00630A1B">
            <w:pPr>
              <w:suppressAutoHyphens w:val="0"/>
              <w:jc w:val="center"/>
              <w:rPr>
                <w:rFonts w:ascii="Calibri" w:hAnsi="Calibri"/>
                <w:sz w:val="22"/>
                <w:szCs w:val="22"/>
              </w:rPr>
            </w:pPr>
            <w:r>
              <w:rPr>
                <w:rFonts w:ascii="Calibri" w:hAnsi="Calibri"/>
                <w:sz w:val="22"/>
                <w:szCs w:val="22"/>
              </w:rPr>
              <w:t>70.4%</w:t>
            </w:r>
          </w:p>
        </w:tc>
        <w:tc>
          <w:tcPr>
            <w:tcW w:w="162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186203" w:rsidRDefault="00630A1B">
            <w:pPr>
              <w:suppressAutoHyphens w:val="0"/>
              <w:jc w:val="center"/>
              <w:rPr>
                <w:rFonts w:ascii="Calibri" w:hAnsi="Calibri"/>
                <w:sz w:val="22"/>
                <w:szCs w:val="22"/>
              </w:rPr>
            </w:pPr>
            <w:r>
              <w:rPr>
                <w:rFonts w:ascii="Calibri" w:hAnsi="Calibri"/>
                <w:color w:val="000000"/>
                <w:sz w:val="22"/>
                <w:szCs w:val="22"/>
              </w:rPr>
              <w:t>$</w:t>
            </w:r>
            <w:r>
              <w:rPr>
                <w:rFonts w:ascii="Calibri" w:hAnsi="Calibri"/>
                <w:sz w:val="22"/>
                <w:szCs w:val="22"/>
              </w:rPr>
              <w:t>12,879</w:t>
            </w:r>
          </w:p>
        </w:tc>
      </w:tr>
      <w:tr w:rsidR="00186203">
        <w:trPr>
          <w:trHeight w:val="300"/>
          <w:jc w:val="center"/>
        </w:trPr>
        <w:tc>
          <w:tcPr>
            <w:tcW w:w="112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186203" w:rsidRDefault="00630A1B">
            <w:pPr>
              <w:suppressAutoHyphens w:val="0"/>
              <w:jc w:val="center"/>
              <w:rPr>
                <w:rFonts w:ascii="Calibri" w:hAnsi="Calibri"/>
                <w:sz w:val="22"/>
                <w:szCs w:val="22"/>
              </w:rPr>
            </w:pPr>
            <w:r>
              <w:rPr>
                <w:rFonts w:ascii="Calibri" w:hAnsi="Calibri"/>
                <w:sz w:val="22"/>
                <w:szCs w:val="22"/>
              </w:rPr>
              <w:t>3</w:t>
            </w:r>
          </w:p>
        </w:tc>
        <w:tc>
          <w:tcPr>
            <w:tcW w:w="252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vAlign w:val="center"/>
          </w:tcPr>
          <w:p w:rsidR="00186203" w:rsidRDefault="00E45F2B">
            <w:pPr>
              <w:suppressAutoHyphens w:val="0"/>
              <w:rPr>
                <w:rStyle w:val="InternetLink"/>
                <w:rFonts w:ascii="Calibri" w:hAnsi="Calibri"/>
                <w:color w:val="00000A"/>
                <w:sz w:val="22"/>
                <w:szCs w:val="22"/>
                <w:u w:val="none"/>
              </w:rPr>
            </w:pPr>
            <w:hyperlink r:id="rId12">
              <w:r w:rsidR="00630A1B">
                <w:rPr>
                  <w:rStyle w:val="InternetLink"/>
                  <w:rFonts w:ascii="Calibri" w:hAnsi="Calibri"/>
                  <w:color w:val="00000A"/>
                  <w:sz w:val="22"/>
                  <w:szCs w:val="22"/>
                  <w:u w:val="none"/>
                </w:rPr>
                <w:t>Chevrolet Silverado 1500</w:t>
              </w:r>
            </w:hyperlink>
          </w:p>
        </w:tc>
        <w:tc>
          <w:tcPr>
            <w:tcW w:w="1674"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186203" w:rsidRDefault="00630A1B">
            <w:pPr>
              <w:suppressAutoHyphens w:val="0"/>
              <w:jc w:val="center"/>
              <w:rPr>
                <w:rFonts w:ascii="Calibri" w:hAnsi="Calibri"/>
                <w:sz w:val="22"/>
                <w:szCs w:val="22"/>
              </w:rPr>
            </w:pPr>
            <w:r>
              <w:rPr>
                <w:rFonts w:ascii="Calibri" w:hAnsi="Calibri"/>
                <w:sz w:val="22"/>
                <w:szCs w:val="22"/>
              </w:rPr>
              <w:t>53.0%</w:t>
            </w:r>
          </w:p>
        </w:tc>
        <w:tc>
          <w:tcPr>
            <w:tcW w:w="162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186203" w:rsidRDefault="00630A1B">
            <w:pPr>
              <w:suppressAutoHyphens w:val="0"/>
              <w:jc w:val="center"/>
              <w:rPr>
                <w:rFonts w:ascii="Calibri" w:hAnsi="Calibri"/>
                <w:sz w:val="22"/>
                <w:szCs w:val="22"/>
              </w:rPr>
            </w:pPr>
            <w:r>
              <w:rPr>
                <w:rFonts w:ascii="Calibri" w:hAnsi="Calibri"/>
                <w:color w:val="000000"/>
                <w:sz w:val="22"/>
                <w:szCs w:val="22"/>
              </w:rPr>
              <w:t>$</w:t>
            </w:r>
            <w:r>
              <w:rPr>
                <w:rFonts w:ascii="Calibri" w:hAnsi="Calibri"/>
                <w:sz w:val="22"/>
                <w:szCs w:val="22"/>
              </w:rPr>
              <w:t>23,575</w:t>
            </w:r>
          </w:p>
        </w:tc>
      </w:tr>
      <w:tr w:rsidR="00186203">
        <w:trPr>
          <w:trHeight w:val="291"/>
          <w:jc w:val="center"/>
        </w:trPr>
        <w:tc>
          <w:tcPr>
            <w:tcW w:w="112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186203" w:rsidRDefault="00630A1B">
            <w:pPr>
              <w:suppressAutoHyphens w:val="0"/>
              <w:jc w:val="center"/>
              <w:rPr>
                <w:rFonts w:ascii="Calibri" w:hAnsi="Calibri"/>
                <w:sz w:val="22"/>
                <w:szCs w:val="22"/>
              </w:rPr>
            </w:pPr>
            <w:r>
              <w:rPr>
                <w:rFonts w:ascii="Calibri" w:hAnsi="Calibri"/>
                <w:sz w:val="22"/>
                <w:szCs w:val="22"/>
              </w:rPr>
              <w:t>4</w:t>
            </w:r>
          </w:p>
        </w:tc>
        <w:tc>
          <w:tcPr>
            <w:tcW w:w="252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vAlign w:val="center"/>
          </w:tcPr>
          <w:p w:rsidR="00186203" w:rsidRDefault="00E45F2B">
            <w:pPr>
              <w:suppressAutoHyphens w:val="0"/>
              <w:rPr>
                <w:rStyle w:val="InternetLink"/>
                <w:rFonts w:ascii="Calibri" w:hAnsi="Calibri"/>
                <w:color w:val="00000A"/>
                <w:sz w:val="22"/>
                <w:szCs w:val="22"/>
                <w:u w:val="none"/>
              </w:rPr>
            </w:pPr>
            <w:hyperlink r:id="rId13">
              <w:r w:rsidR="00630A1B">
                <w:rPr>
                  <w:rStyle w:val="InternetLink"/>
                  <w:rFonts w:ascii="Calibri" w:hAnsi="Calibri"/>
                  <w:color w:val="00000A"/>
                  <w:sz w:val="22"/>
                  <w:szCs w:val="22"/>
                  <w:u w:val="none"/>
                </w:rPr>
                <w:t>Chevrolet Malibu</w:t>
              </w:r>
            </w:hyperlink>
          </w:p>
        </w:tc>
        <w:tc>
          <w:tcPr>
            <w:tcW w:w="1674"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186203" w:rsidRDefault="00630A1B">
            <w:pPr>
              <w:suppressAutoHyphens w:val="0"/>
              <w:jc w:val="center"/>
              <w:rPr>
                <w:rFonts w:ascii="Calibri" w:hAnsi="Calibri"/>
                <w:sz w:val="22"/>
                <w:szCs w:val="22"/>
              </w:rPr>
            </w:pPr>
            <w:r>
              <w:rPr>
                <w:rFonts w:ascii="Calibri" w:hAnsi="Calibri"/>
                <w:sz w:val="22"/>
                <w:szCs w:val="22"/>
              </w:rPr>
              <w:t>48.9%</w:t>
            </w:r>
          </w:p>
        </w:tc>
        <w:tc>
          <w:tcPr>
            <w:tcW w:w="162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186203" w:rsidRDefault="00630A1B">
            <w:pPr>
              <w:suppressAutoHyphens w:val="0"/>
              <w:jc w:val="center"/>
              <w:rPr>
                <w:rFonts w:ascii="Calibri" w:hAnsi="Calibri"/>
                <w:sz w:val="22"/>
                <w:szCs w:val="22"/>
              </w:rPr>
            </w:pPr>
            <w:r>
              <w:rPr>
                <w:rFonts w:ascii="Calibri" w:hAnsi="Calibri"/>
                <w:color w:val="000000"/>
                <w:sz w:val="22"/>
                <w:szCs w:val="22"/>
              </w:rPr>
              <w:t>$</w:t>
            </w:r>
            <w:r>
              <w:rPr>
                <w:rFonts w:ascii="Calibri" w:hAnsi="Calibri"/>
                <w:sz w:val="22"/>
                <w:szCs w:val="22"/>
              </w:rPr>
              <w:t>13,879</w:t>
            </w:r>
          </w:p>
        </w:tc>
      </w:tr>
      <w:tr w:rsidR="00186203">
        <w:trPr>
          <w:trHeight w:val="291"/>
          <w:jc w:val="center"/>
        </w:trPr>
        <w:tc>
          <w:tcPr>
            <w:tcW w:w="112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186203" w:rsidRDefault="00630A1B">
            <w:pPr>
              <w:suppressAutoHyphens w:val="0"/>
              <w:jc w:val="center"/>
              <w:rPr>
                <w:rFonts w:ascii="Calibri" w:hAnsi="Calibri"/>
                <w:sz w:val="22"/>
                <w:szCs w:val="22"/>
              </w:rPr>
            </w:pPr>
            <w:r>
              <w:rPr>
                <w:rFonts w:ascii="Calibri" w:hAnsi="Calibri"/>
                <w:sz w:val="22"/>
                <w:szCs w:val="22"/>
              </w:rPr>
              <w:t>5</w:t>
            </w:r>
          </w:p>
        </w:tc>
        <w:tc>
          <w:tcPr>
            <w:tcW w:w="252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vAlign w:val="center"/>
          </w:tcPr>
          <w:p w:rsidR="00186203" w:rsidRDefault="00E45F2B">
            <w:pPr>
              <w:suppressAutoHyphens w:val="0"/>
              <w:rPr>
                <w:rStyle w:val="InternetLink"/>
                <w:rFonts w:ascii="Calibri" w:hAnsi="Calibri"/>
                <w:color w:val="00000A"/>
                <w:sz w:val="22"/>
                <w:szCs w:val="22"/>
                <w:u w:val="none"/>
              </w:rPr>
            </w:pPr>
            <w:hyperlink r:id="rId14">
              <w:r w:rsidR="00630A1B">
                <w:rPr>
                  <w:rStyle w:val="InternetLink"/>
                  <w:rFonts w:ascii="Calibri" w:hAnsi="Calibri"/>
                  <w:color w:val="00000A"/>
                  <w:sz w:val="22"/>
                  <w:szCs w:val="22"/>
                  <w:u w:val="none"/>
                </w:rPr>
                <w:t>Honda Accord</w:t>
              </w:r>
            </w:hyperlink>
          </w:p>
        </w:tc>
        <w:tc>
          <w:tcPr>
            <w:tcW w:w="1674"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186203" w:rsidRDefault="00630A1B">
            <w:pPr>
              <w:suppressAutoHyphens w:val="0"/>
              <w:jc w:val="center"/>
              <w:rPr>
                <w:rFonts w:ascii="Calibri" w:hAnsi="Calibri"/>
                <w:sz w:val="22"/>
                <w:szCs w:val="22"/>
              </w:rPr>
            </w:pPr>
            <w:r>
              <w:rPr>
                <w:rFonts w:ascii="Calibri" w:hAnsi="Calibri"/>
                <w:sz w:val="22"/>
                <w:szCs w:val="22"/>
              </w:rPr>
              <w:t>41.9%</w:t>
            </w:r>
          </w:p>
        </w:tc>
        <w:tc>
          <w:tcPr>
            <w:tcW w:w="162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186203" w:rsidRDefault="00630A1B">
            <w:pPr>
              <w:suppressAutoHyphens w:val="0"/>
              <w:jc w:val="center"/>
              <w:rPr>
                <w:rFonts w:ascii="Calibri" w:hAnsi="Calibri"/>
                <w:sz w:val="22"/>
                <w:szCs w:val="22"/>
              </w:rPr>
            </w:pPr>
            <w:r>
              <w:rPr>
                <w:rFonts w:ascii="Calibri" w:hAnsi="Calibri"/>
                <w:color w:val="000000"/>
                <w:sz w:val="22"/>
                <w:szCs w:val="22"/>
              </w:rPr>
              <w:t>$</w:t>
            </w:r>
            <w:r>
              <w:rPr>
                <w:rFonts w:ascii="Calibri" w:hAnsi="Calibri"/>
                <w:sz w:val="22"/>
                <w:szCs w:val="22"/>
              </w:rPr>
              <w:t>14,852</w:t>
            </w:r>
          </w:p>
        </w:tc>
      </w:tr>
    </w:tbl>
    <w:p w:rsidR="00186203" w:rsidRDefault="00186203">
      <w:pPr>
        <w:rPr>
          <w:rFonts w:ascii="Calibri" w:hAnsi="Calibri"/>
          <w:b/>
          <w:bCs/>
          <w:sz w:val="8"/>
          <w:szCs w:val="8"/>
        </w:rPr>
      </w:pPr>
    </w:p>
    <w:p w:rsidR="00186203" w:rsidRDefault="00630A1B">
      <w:pPr>
        <w:pStyle w:val="NormalWeb"/>
        <w:shd w:val="clear" w:color="auto" w:fill="FFFFFF"/>
        <w:spacing w:before="240" w:after="120"/>
        <w:jc w:val="center"/>
        <w:rPr>
          <w:rFonts w:ascii="Calibri" w:hAnsi="Calibri" w:cs="Arial"/>
          <w:b/>
          <w:bCs/>
        </w:rPr>
      </w:pPr>
      <w:r>
        <w:rPr>
          <w:rFonts w:ascii="Calibri" w:hAnsi="Calibri" w:cs="Arial"/>
          <w:b/>
          <w:bCs/>
        </w:rPr>
        <w:t>Cars Women Prefer More Than Men in Phoenix</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4" w:type="dxa"/>
          <w:left w:w="43" w:type="dxa"/>
          <w:bottom w:w="14" w:type="dxa"/>
          <w:right w:w="72" w:type="dxa"/>
        </w:tblCellMar>
        <w:tblLook w:val="04A0" w:firstRow="1" w:lastRow="0" w:firstColumn="1" w:lastColumn="0" w:noHBand="0" w:noVBand="1"/>
      </w:tblPr>
      <w:tblGrid>
        <w:gridCol w:w="1105"/>
        <w:gridCol w:w="2532"/>
        <w:gridCol w:w="1669"/>
        <w:gridCol w:w="1661"/>
      </w:tblGrid>
      <w:tr w:rsidR="00186203">
        <w:trPr>
          <w:trHeight w:val="300"/>
          <w:jc w:val="center"/>
        </w:trPr>
        <w:tc>
          <w:tcPr>
            <w:tcW w:w="1105" w:type="dxa"/>
            <w:tcBorders>
              <w:top w:val="single" w:sz="4" w:space="0" w:color="00000A"/>
              <w:left w:val="single" w:sz="4" w:space="0" w:color="00000A"/>
              <w:bottom w:val="single" w:sz="4" w:space="0" w:color="00000A"/>
              <w:right w:val="single" w:sz="4" w:space="0" w:color="00000A"/>
            </w:tcBorders>
            <w:shd w:val="clear" w:color="auto" w:fill="DBE5F1"/>
            <w:tcMar>
              <w:left w:w="43" w:type="dxa"/>
            </w:tcMar>
            <w:vAlign w:val="center"/>
          </w:tcPr>
          <w:p w:rsidR="00186203" w:rsidRDefault="00630A1B">
            <w:pPr>
              <w:suppressAutoHyphens w:val="0"/>
              <w:jc w:val="cente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Rank</w:t>
            </w:r>
          </w:p>
        </w:tc>
        <w:tc>
          <w:tcPr>
            <w:tcW w:w="2532" w:type="dxa"/>
            <w:tcBorders>
              <w:top w:val="single" w:sz="4" w:space="0" w:color="00000A"/>
              <w:left w:val="single" w:sz="4" w:space="0" w:color="00000A"/>
              <w:bottom w:val="single" w:sz="4" w:space="0" w:color="00000A"/>
              <w:right w:val="single" w:sz="4" w:space="0" w:color="00000A"/>
            </w:tcBorders>
            <w:shd w:val="clear" w:color="auto" w:fill="DBE5F1"/>
            <w:tcMar>
              <w:left w:w="38" w:type="dxa"/>
            </w:tcMar>
            <w:vAlign w:val="center"/>
          </w:tcPr>
          <w:p w:rsidR="00186203" w:rsidRDefault="00630A1B">
            <w:pPr>
              <w:suppressAutoHyphens w:val="0"/>
              <w:jc w:val="cente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Car</w:t>
            </w:r>
          </w:p>
        </w:tc>
        <w:tc>
          <w:tcPr>
            <w:tcW w:w="1669" w:type="dxa"/>
            <w:tcBorders>
              <w:top w:val="single" w:sz="4" w:space="0" w:color="00000A"/>
              <w:left w:val="single" w:sz="4" w:space="0" w:color="00000A"/>
              <w:bottom w:val="single" w:sz="4" w:space="0" w:color="00000A"/>
              <w:right w:val="single" w:sz="4" w:space="0" w:color="00000A"/>
            </w:tcBorders>
            <w:shd w:val="clear" w:color="auto" w:fill="DBE5F1"/>
            <w:tcMar>
              <w:left w:w="43" w:type="dxa"/>
            </w:tcMar>
            <w:vAlign w:val="center"/>
          </w:tcPr>
          <w:p w:rsidR="00186203" w:rsidRDefault="00630A1B">
            <w:pPr>
              <w:suppressAutoHyphens w:val="0"/>
              <w:jc w:val="cente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Female Bias</w:t>
            </w:r>
          </w:p>
        </w:tc>
        <w:tc>
          <w:tcPr>
            <w:tcW w:w="1661" w:type="dxa"/>
            <w:tcBorders>
              <w:top w:val="single" w:sz="4" w:space="0" w:color="00000A"/>
              <w:left w:val="single" w:sz="4" w:space="0" w:color="00000A"/>
              <w:bottom w:val="single" w:sz="4" w:space="0" w:color="00000A"/>
              <w:right w:val="single" w:sz="4" w:space="0" w:color="00000A"/>
            </w:tcBorders>
            <w:shd w:val="clear" w:color="auto" w:fill="DBE5F1"/>
            <w:vAlign w:val="center"/>
          </w:tcPr>
          <w:p w:rsidR="00186203" w:rsidRDefault="00630A1B">
            <w:pPr>
              <w:suppressAutoHyphens w:val="0"/>
              <w:jc w:val="cente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Average Price*</w:t>
            </w:r>
          </w:p>
        </w:tc>
      </w:tr>
      <w:tr w:rsidR="00186203">
        <w:trPr>
          <w:trHeight w:val="300"/>
          <w:jc w:val="center"/>
        </w:trPr>
        <w:tc>
          <w:tcPr>
            <w:tcW w:w="110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186203" w:rsidRDefault="00630A1B">
            <w:pPr>
              <w:suppressAutoHyphens w:val="0"/>
              <w:jc w:val="center"/>
              <w:rPr>
                <w:rFonts w:ascii="Calibri" w:hAnsi="Calibri"/>
                <w:sz w:val="22"/>
                <w:szCs w:val="22"/>
              </w:rPr>
            </w:pPr>
            <w:r>
              <w:rPr>
                <w:rFonts w:ascii="Calibri" w:hAnsi="Calibri"/>
                <w:sz w:val="22"/>
                <w:szCs w:val="22"/>
              </w:rPr>
              <w:t>1</w:t>
            </w:r>
          </w:p>
        </w:tc>
        <w:tc>
          <w:tcPr>
            <w:tcW w:w="25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vAlign w:val="center"/>
          </w:tcPr>
          <w:p w:rsidR="00186203" w:rsidRDefault="00E45F2B">
            <w:pPr>
              <w:suppressAutoHyphens w:val="0"/>
              <w:rPr>
                <w:rStyle w:val="InternetLink"/>
                <w:rFonts w:ascii="Calibri" w:hAnsi="Calibri"/>
                <w:color w:val="00000A"/>
                <w:sz w:val="22"/>
                <w:szCs w:val="22"/>
                <w:u w:val="none"/>
              </w:rPr>
            </w:pPr>
            <w:hyperlink r:id="rId15">
              <w:r w:rsidR="00630A1B">
                <w:rPr>
                  <w:rStyle w:val="InternetLink"/>
                  <w:rFonts w:ascii="Calibri" w:hAnsi="Calibri"/>
                  <w:color w:val="00000A"/>
                  <w:sz w:val="22"/>
                  <w:szCs w:val="22"/>
                  <w:u w:val="none"/>
                </w:rPr>
                <w:t>Toyota Camry</w:t>
              </w:r>
            </w:hyperlink>
          </w:p>
        </w:tc>
        <w:tc>
          <w:tcPr>
            <w:tcW w:w="1669"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186203" w:rsidRDefault="00630A1B">
            <w:pPr>
              <w:suppressAutoHyphens w:val="0"/>
              <w:jc w:val="center"/>
              <w:rPr>
                <w:rFonts w:ascii="Calibri" w:hAnsi="Calibri"/>
                <w:sz w:val="22"/>
                <w:szCs w:val="22"/>
              </w:rPr>
            </w:pPr>
            <w:r>
              <w:rPr>
                <w:rFonts w:ascii="Calibri" w:hAnsi="Calibri"/>
                <w:sz w:val="22"/>
                <w:szCs w:val="22"/>
              </w:rPr>
              <w:t>92.9%</w:t>
            </w:r>
          </w:p>
        </w:tc>
        <w:tc>
          <w:tcPr>
            <w:tcW w:w="16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186203" w:rsidRDefault="00630A1B">
            <w:pPr>
              <w:suppressAutoHyphens w:val="0"/>
              <w:jc w:val="center"/>
              <w:rPr>
                <w:rFonts w:ascii="Calibri" w:hAnsi="Calibri"/>
                <w:sz w:val="22"/>
                <w:szCs w:val="22"/>
              </w:rPr>
            </w:pPr>
            <w:r>
              <w:rPr>
                <w:rFonts w:ascii="Calibri" w:hAnsi="Calibri"/>
                <w:sz w:val="22"/>
                <w:szCs w:val="22"/>
              </w:rPr>
              <w:t>$14,533</w:t>
            </w:r>
          </w:p>
        </w:tc>
      </w:tr>
      <w:tr w:rsidR="00186203">
        <w:trPr>
          <w:trHeight w:val="300"/>
          <w:jc w:val="center"/>
        </w:trPr>
        <w:tc>
          <w:tcPr>
            <w:tcW w:w="110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186203" w:rsidRDefault="00630A1B">
            <w:pPr>
              <w:suppressAutoHyphens w:val="0"/>
              <w:jc w:val="center"/>
              <w:rPr>
                <w:rFonts w:ascii="Calibri" w:hAnsi="Calibri"/>
                <w:sz w:val="22"/>
                <w:szCs w:val="22"/>
              </w:rPr>
            </w:pPr>
            <w:r>
              <w:rPr>
                <w:rFonts w:ascii="Calibri" w:hAnsi="Calibri"/>
                <w:sz w:val="22"/>
                <w:szCs w:val="22"/>
              </w:rPr>
              <w:t>2</w:t>
            </w:r>
          </w:p>
        </w:tc>
        <w:tc>
          <w:tcPr>
            <w:tcW w:w="25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vAlign w:val="center"/>
          </w:tcPr>
          <w:p w:rsidR="00186203" w:rsidRDefault="00E45F2B">
            <w:pPr>
              <w:suppressAutoHyphens w:val="0"/>
              <w:rPr>
                <w:rStyle w:val="InternetLink"/>
                <w:rFonts w:ascii="Calibri" w:hAnsi="Calibri"/>
                <w:color w:val="00000A"/>
                <w:sz w:val="22"/>
                <w:szCs w:val="22"/>
                <w:u w:val="none"/>
              </w:rPr>
            </w:pPr>
            <w:hyperlink r:id="rId16">
              <w:r w:rsidR="00630A1B">
                <w:rPr>
                  <w:rStyle w:val="InternetLink"/>
                  <w:rFonts w:ascii="Calibri" w:hAnsi="Calibri"/>
                  <w:color w:val="00000A"/>
                  <w:sz w:val="22"/>
                  <w:szCs w:val="22"/>
                  <w:u w:val="none"/>
                </w:rPr>
                <w:t>BMW 3 Series</w:t>
              </w:r>
            </w:hyperlink>
          </w:p>
        </w:tc>
        <w:tc>
          <w:tcPr>
            <w:tcW w:w="1669"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186203" w:rsidRDefault="00630A1B">
            <w:pPr>
              <w:suppressAutoHyphens w:val="0"/>
              <w:jc w:val="center"/>
              <w:rPr>
                <w:rFonts w:ascii="Calibri" w:hAnsi="Calibri"/>
                <w:sz w:val="22"/>
                <w:szCs w:val="22"/>
              </w:rPr>
            </w:pPr>
            <w:r>
              <w:rPr>
                <w:rFonts w:ascii="Calibri" w:hAnsi="Calibri"/>
                <w:sz w:val="22"/>
                <w:szCs w:val="22"/>
              </w:rPr>
              <w:t>51.7%</w:t>
            </w:r>
          </w:p>
        </w:tc>
        <w:tc>
          <w:tcPr>
            <w:tcW w:w="16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186203" w:rsidRDefault="00630A1B">
            <w:pPr>
              <w:suppressAutoHyphens w:val="0"/>
              <w:jc w:val="center"/>
              <w:rPr>
                <w:rFonts w:ascii="Calibri" w:hAnsi="Calibri"/>
                <w:sz w:val="22"/>
                <w:szCs w:val="22"/>
              </w:rPr>
            </w:pPr>
            <w:r>
              <w:rPr>
                <w:rFonts w:ascii="Calibri" w:hAnsi="Calibri"/>
                <w:sz w:val="22"/>
                <w:szCs w:val="22"/>
              </w:rPr>
              <w:t>$22,408</w:t>
            </w:r>
          </w:p>
        </w:tc>
      </w:tr>
      <w:tr w:rsidR="00186203">
        <w:trPr>
          <w:trHeight w:val="300"/>
          <w:jc w:val="center"/>
        </w:trPr>
        <w:tc>
          <w:tcPr>
            <w:tcW w:w="110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186203" w:rsidRDefault="00630A1B">
            <w:pPr>
              <w:suppressAutoHyphens w:val="0"/>
              <w:jc w:val="center"/>
              <w:rPr>
                <w:rFonts w:ascii="Calibri" w:hAnsi="Calibri"/>
                <w:sz w:val="22"/>
                <w:szCs w:val="22"/>
              </w:rPr>
            </w:pPr>
            <w:r>
              <w:rPr>
                <w:rFonts w:ascii="Calibri" w:hAnsi="Calibri"/>
                <w:sz w:val="22"/>
                <w:szCs w:val="22"/>
              </w:rPr>
              <w:t>3</w:t>
            </w:r>
          </w:p>
        </w:tc>
        <w:tc>
          <w:tcPr>
            <w:tcW w:w="25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vAlign w:val="center"/>
          </w:tcPr>
          <w:p w:rsidR="00186203" w:rsidRDefault="00E45F2B">
            <w:pPr>
              <w:suppressAutoHyphens w:val="0"/>
              <w:rPr>
                <w:rStyle w:val="InternetLink"/>
                <w:rFonts w:ascii="Calibri" w:hAnsi="Calibri"/>
                <w:color w:val="00000A"/>
                <w:sz w:val="22"/>
                <w:szCs w:val="22"/>
                <w:u w:val="none"/>
              </w:rPr>
            </w:pPr>
            <w:hyperlink r:id="rId17">
              <w:r w:rsidR="00630A1B">
                <w:rPr>
                  <w:rStyle w:val="InternetLink"/>
                  <w:rFonts w:ascii="Calibri" w:hAnsi="Calibri"/>
                  <w:color w:val="00000A"/>
                  <w:sz w:val="22"/>
                  <w:szCs w:val="22"/>
                  <w:u w:val="none"/>
                </w:rPr>
                <w:t>Ford Explorer</w:t>
              </w:r>
            </w:hyperlink>
          </w:p>
        </w:tc>
        <w:tc>
          <w:tcPr>
            <w:tcW w:w="1669"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186203" w:rsidRDefault="00630A1B">
            <w:pPr>
              <w:suppressAutoHyphens w:val="0"/>
              <w:jc w:val="center"/>
              <w:rPr>
                <w:rFonts w:ascii="Calibri" w:hAnsi="Calibri"/>
                <w:sz w:val="22"/>
                <w:szCs w:val="22"/>
              </w:rPr>
            </w:pPr>
            <w:r>
              <w:rPr>
                <w:rFonts w:ascii="Calibri" w:hAnsi="Calibri"/>
                <w:sz w:val="22"/>
                <w:szCs w:val="22"/>
              </w:rPr>
              <w:t>50.5%</w:t>
            </w:r>
          </w:p>
        </w:tc>
        <w:tc>
          <w:tcPr>
            <w:tcW w:w="16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186203" w:rsidRDefault="00630A1B">
            <w:pPr>
              <w:suppressAutoHyphens w:val="0"/>
              <w:jc w:val="center"/>
              <w:rPr>
                <w:rFonts w:ascii="Calibri" w:hAnsi="Calibri"/>
                <w:sz w:val="22"/>
                <w:szCs w:val="22"/>
              </w:rPr>
            </w:pPr>
            <w:r>
              <w:rPr>
                <w:rFonts w:ascii="Calibri" w:hAnsi="Calibri"/>
                <w:sz w:val="22"/>
                <w:szCs w:val="22"/>
              </w:rPr>
              <w:t>$23,915</w:t>
            </w:r>
          </w:p>
        </w:tc>
      </w:tr>
      <w:tr w:rsidR="00186203">
        <w:trPr>
          <w:trHeight w:val="300"/>
          <w:jc w:val="center"/>
        </w:trPr>
        <w:tc>
          <w:tcPr>
            <w:tcW w:w="110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186203" w:rsidRDefault="00630A1B">
            <w:pPr>
              <w:suppressAutoHyphens w:val="0"/>
              <w:jc w:val="center"/>
              <w:rPr>
                <w:rFonts w:ascii="Calibri" w:hAnsi="Calibri"/>
                <w:sz w:val="22"/>
                <w:szCs w:val="22"/>
              </w:rPr>
            </w:pPr>
            <w:r>
              <w:rPr>
                <w:rFonts w:ascii="Calibri" w:hAnsi="Calibri"/>
                <w:sz w:val="22"/>
                <w:szCs w:val="22"/>
              </w:rPr>
              <w:t>4</w:t>
            </w:r>
          </w:p>
        </w:tc>
        <w:tc>
          <w:tcPr>
            <w:tcW w:w="25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vAlign w:val="center"/>
          </w:tcPr>
          <w:p w:rsidR="00186203" w:rsidRDefault="00E45F2B">
            <w:pPr>
              <w:suppressAutoHyphens w:val="0"/>
              <w:rPr>
                <w:rStyle w:val="InternetLink"/>
                <w:rFonts w:ascii="Calibri" w:hAnsi="Calibri"/>
                <w:color w:val="00000A"/>
                <w:sz w:val="22"/>
                <w:szCs w:val="22"/>
                <w:u w:val="none"/>
              </w:rPr>
            </w:pPr>
            <w:hyperlink r:id="rId18">
              <w:r w:rsidR="00630A1B">
                <w:rPr>
                  <w:rStyle w:val="InternetLink"/>
                  <w:rFonts w:ascii="Calibri" w:hAnsi="Calibri"/>
                  <w:color w:val="00000A"/>
                  <w:sz w:val="22"/>
                  <w:szCs w:val="22"/>
                  <w:u w:val="none"/>
                </w:rPr>
                <w:t>Chrysler 300</w:t>
              </w:r>
            </w:hyperlink>
          </w:p>
        </w:tc>
        <w:tc>
          <w:tcPr>
            <w:tcW w:w="1669"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186203" w:rsidRDefault="00630A1B">
            <w:pPr>
              <w:suppressAutoHyphens w:val="0"/>
              <w:jc w:val="center"/>
              <w:rPr>
                <w:rFonts w:ascii="Calibri" w:hAnsi="Calibri"/>
                <w:sz w:val="22"/>
                <w:szCs w:val="22"/>
              </w:rPr>
            </w:pPr>
            <w:r>
              <w:rPr>
                <w:rFonts w:ascii="Calibri" w:hAnsi="Calibri"/>
                <w:sz w:val="22"/>
                <w:szCs w:val="22"/>
              </w:rPr>
              <w:t>39.0%</w:t>
            </w:r>
          </w:p>
        </w:tc>
        <w:tc>
          <w:tcPr>
            <w:tcW w:w="16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186203" w:rsidRDefault="00630A1B">
            <w:pPr>
              <w:suppressAutoHyphens w:val="0"/>
              <w:jc w:val="center"/>
              <w:rPr>
                <w:rFonts w:ascii="Calibri" w:hAnsi="Calibri"/>
                <w:sz w:val="22"/>
                <w:szCs w:val="22"/>
              </w:rPr>
            </w:pPr>
            <w:r>
              <w:rPr>
                <w:rFonts w:ascii="Calibri" w:hAnsi="Calibri"/>
                <w:sz w:val="22"/>
                <w:szCs w:val="22"/>
              </w:rPr>
              <w:t>$16,793</w:t>
            </w:r>
          </w:p>
        </w:tc>
      </w:tr>
      <w:tr w:rsidR="00186203">
        <w:trPr>
          <w:trHeight w:val="291"/>
          <w:jc w:val="center"/>
        </w:trPr>
        <w:tc>
          <w:tcPr>
            <w:tcW w:w="110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186203" w:rsidRDefault="00630A1B">
            <w:pPr>
              <w:suppressAutoHyphens w:val="0"/>
              <w:jc w:val="center"/>
              <w:rPr>
                <w:rFonts w:ascii="Calibri" w:hAnsi="Calibri"/>
                <w:sz w:val="22"/>
                <w:szCs w:val="22"/>
              </w:rPr>
            </w:pPr>
            <w:r>
              <w:rPr>
                <w:rFonts w:ascii="Calibri" w:hAnsi="Calibri"/>
                <w:sz w:val="22"/>
                <w:szCs w:val="22"/>
              </w:rPr>
              <w:t>5</w:t>
            </w:r>
          </w:p>
        </w:tc>
        <w:tc>
          <w:tcPr>
            <w:tcW w:w="25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vAlign w:val="center"/>
          </w:tcPr>
          <w:p w:rsidR="00186203" w:rsidRDefault="00E45F2B">
            <w:pPr>
              <w:suppressAutoHyphens w:val="0"/>
              <w:rPr>
                <w:rStyle w:val="InternetLink"/>
                <w:rFonts w:ascii="Calibri" w:hAnsi="Calibri"/>
                <w:color w:val="00000A"/>
                <w:sz w:val="22"/>
                <w:szCs w:val="22"/>
                <w:u w:val="none"/>
              </w:rPr>
            </w:pPr>
            <w:hyperlink r:id="rId19">
              <w:r w:rsidR="00630A1B">
                <w:rPr>
                  <w:rStyle w:val="InternetLink"/>
                  <w:rFonts w:ascii="Calibri" w:hAnsi="Calibri"/>
                  <w:color w:val="00000A"/>
                  <w:sz w:val="22"/>
                  <w:szCs w:val="22"/>
                  <w:u w:val="none"/>
                </w:rPr>
                <w:t>Ford Focus</w:t>
              </w:r>
            </w:hyperlink>
          </w:p>
        </w:tc>
        <w:tc>
          <w:tcPr>
            <w:tcW w:w="1669" w:type="dxa"/>
            <w:tcBorders>
              <w:top w:val="single" w:sz="4" w:space="0" w:color="00000A"/>
              <w:left w:val="single" w:sz="4" w:space="0" w:color="00000A"/>
              <w:bottom w:val="single" w:sz="4" w:space="0" w:color="00000A"/>
              <w:right w:val="single" w:sz="4" w:space="0" w:color="00000A"/>
            </w:tcBorders>
            <w:shd w:val="clear" w:color="auto" w:fill="FFFFFF"/>
            <w:tcMar>
              <w:left w:w="43" w:type="dxa"/>
            </w:tcMar>
            <w:vAlign w:val="center"/>
          </w:tcPr>
          <w:p w:rsidR="00186203" w:rsidRDefault="00630A1B">
            <w:pPr>
              <w:suppressAutoHyphens w:val="0"/>
              <w:jc w:val="center"/>
              <w:rPr>
                <w:rFonts w:ascii="Calibri" w:hAnsi="Calibri"/>
                <w:sz w:val="22"/>
                <w:szCs w:val="22"/>
              </w:rPr>
            </w:pPr>
            <w:r>
              <w:rPr>
                <w:rFonts w:ascii="Calibri" w:hAnsi="Calibri"/>
                <w:sz w:val="22"/>
                <w:szCs w:val="22"/>
              </w:rPr>
              <w:t>26.4%</w:t>
            </w:r>
          </w:p>
        </w:tc>
        <w:tc>
          <w:tcPr>
            <w:tcW w:w="16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186203" w:rsidRDefault="00630A1B">
            <w:pPr>
              <w:suppressAutoHyphens w:val="0"/>
              <w:jc w:val="center"/>
              <w:rPr>
                <w:rFonts w:ascii="Calibri" w:hAnsi="Calibri"/>
                <w:sz w:val="22"/>
                <w:szCs w:val="22"/>
              </w:rPr>
            </w:pPr>
            <w:r>
              <w:rPr>
                <w:rFonts w:ascii="Calibri" w:hAnsi="Calibri"/>
                <w:sz w:val="22"/>
                <w:szCs w:val="22"/>
              </w:rPr>
              <w:t>$11,283</w:t>
            </w:r>
          </w:p>
        </w:tc>
      </w:tr>
    </w:tbl>
    <w:p w:rsidR="00186203" w:rsidRPr="00C82ED5" w:rsidRDefault="00630A1B">
      <w:pPr>
        <w:ind w:left="1418"/>
        <w:rPr>
          <w:rFonts w:ascii="Calibri" w:hAnsi="Calibri" w:hint="eastAsia"/>
          <w:bCs/>
          <w:i/>
          <w:sz w:val="20"/>
          <w:szCs w:val="20"/>
        </w:rPr>
      </w:pPr>
      <w:r w:rsidRPr="00C82ED5">
        <w:rPr>
          <w:rFonts w:ascii="Calibri" w:hAnsi="Calibri" w:hint="eastAsia"/>
          <w:bCs/>
          <w:sz w:val="8"/>
          <w:szCs w:val="8"/>
        </w:rPr>
        <w:t xml:space="preserve">   </w:t>
      </w:r>
      <w:r w:rsidRPr="00C82ED5">
        <w:rPr>
          <w:rFonts w:ascii="Calibri" w:hAnsi="Calibri" w:hint="eastAsia"/>
          <w:bCs/>
          <w:i/>
          <w:sz w:val="20"/>
          <w:szCs w:val="20"/>
        </w:rPr>
        <w:t>*Averages are based on local used car prices.</w:t>
      </w:r>
    </w:p>
    <w:p w:rsidR="00186203" w:rsidRPr="005D216B" w:rsidRDefault="00186203">
      <w:pPr>
        <w:jc w:val="center"/>
        <w:rPr>
          <w:rFonts w:ascii="Calibri" w:hAnsi="Calibri"/>
          <w:b/>
          <w:bCs/>
          <w:sz w:val="28"/>
          <w:szCs w:val="28"/>
        </w:rPr>
      </w:pPr>
    </w:p>
    <w:p w:rsidR="00186203" w:rsidRPr="0080541B" w:rsidRDefault="00630A1B">
      <w:pPr>
        <w:rPr>
          <w:rFonts w:ascii="Calibri" w:hAnsi="Calibri"/>
          <w:b/>
          <w:bCs/>
        </w:rPr>
      </w:pPr>
      <w:r w:rsidRPr="0080541B">
        <w:rPr>
          <w:rFonts w:ascii="Calibri" w:hAnsi="Calibri"/>
          <w:b/>
          <w:bCs/>
        </w:rPr>
        <w:t>Methodology</w:t>
      </w:r>
    </w:p>
    <w:p w:rsidR="00186203" w:rsidRDefault="00186203">
      <w:pPr>
        <w:rPr>
          <w:rFonts w:ascii="Calibri" w:hAnsi="Calibri"/>
          <w:b/>
          <w:bCs/>
        </w:rPr>
      </w:pPr>
    </w:p>
    <w:p w:rsidR="00186203" w:rsidRDefault="00630A1B">
      <w:pPr>
        <w:rPr>
          <w:rFonts w:ascii="Calibri" w:hAnsi="Calibri"/>
          <w:bCs/>
        </w:rPr>
      </w:pPr>
      <w:proofErr w:type="gramStart"/>
      <w:r>
        <w:rPr>
          <w:rFonts w:ascii="Calibri" w:hAnsi="Calibri"/>
          <w:bCs/>
        </w:rPr>
        <w:t>iSeeCars.com</w:t>
      </w:r>
      <w:proofErr w:type="gramEnd"/>
      <w:r>
        <w:rPr>
          <w:rFonts w:ascii="Calibri" w:hAnsi="Calibri"/>
          <w:bCs/>
        </w:rPr>
        <w:t xml:space="preserve"> analyzed data from more than 1.2 million consumer car inquiries on iSeeCars.com between March 2009 and August 2017. It categorized inquiries as coming from male or female consumers based on their first names, and calculated the share of male and female inquires for each color. The difference in share between male and female inquiries was expressed as a percentage of female inquiry share and male inquiry share to calculate male and female bias toward each color, </w:t>
      </w:r>
      <w:r>
        <w:rPr>
          <w:rFonts w:ascii="Calibri" w:hAnsi="Calibri"/>
          <w:bCs/>
        </w:rPr>
        <w:lastRenderedPageBreak/>
        <w:t xml:space="preserve">respectively. In addition, the same analysis was repeated for car models. Only data from Phoenix was included in the final analysis. Colors with fewer than 30 total inquiries and models with fewer than 40 total inquiries were excluded from the analysis. </w:t>
      </w:r>
      <w:proofErr w:type="gramStart"/>
      <w:r>
        <w:rPr>
          <w:rFonts w:ascii="Calibri" w:hAnsi="Calibri"/>
          <w:bCs/>
        </w:rPr>
        <w:t>iSeeCars.com</w:t>
      </w:r>
      <w:proofErr w:type="gramEnd"/>
      <w:r>
        <w:rPr>
          <w:rFonts w:ascii="Calibri" w:hAnsi="Calibri"/>
          <w:bCs/>
        </w:rPr>
        <w:t xml:space="preserve"> also analyzed more than 17 million used car sales between September 2016 and August 2017 for used car prices.</w:t>
      </w:r>
    </w:p>
    <w:p w:rsidR="00186203" w:rsidRDefault="00186203">
      <w:pPr>
        <w:rPr>
          <w:rFonts w:ascii="Calibri" w:hAnsi="Calibri"/>
          <w:b/>
          <w:bCs/>
        </w:rPr>
      </w:pPr>
    </w:p>
    <w:p w:rsidR="00186203" w:rsidRPr="0080541B" w:rsidRDefault="00630A1B">
      <w:pPr>
        <w:rPr>
          <w:rFonts w:ascii="Calibri" w:hAnsi="Calibri"/>
          <w:b/>
          <w:bCs/>
        </w:rPr>
      </w:pPr>
      <w:r w:rsidRPr="0080541B">
        <w:rPr>
          <w:rFonts w:ascii="Calibri" w:hAnsi="Calibri"/>
          <w:b/>
          <w:bCs/>
        </w:rPr>
        <w:t>About iSeeCars.com</w:t>
      </w:r>
    </w:p>
    <w:p w:rsidR="00186203" w:rsidRDefault="00186203">
      <w:pPr>
        <w:rPr>
          <w:rFonts w:ascii="Calibri" w:hAnsi="Calibri"/>
        </w:rPr>
      </w:pPr>
    </w:p>
    <w:p w:rsidR="00186203" w:rsidRDefault="00E45F2B">
      <w:pPr>
        <w:rPr>
          <w:rFonts w:ascii="Calibri" w:hAnsi="Calibri"/>
        </w:rPr>
      </w:pPr>
      <w:hyperlink r:id="rId20">
        <w:proofErr w:type="gramStart"/>
        <w:r w:rsidR="00630A1B" w:rsidRPr="005D216B">
          <w:rPr>
            <w:rStyle w:val="InternetLink"/>
            <w:rFonts w:ascii="Calibri" w:hAnsi="Calibri"/>
            <w:u w:val="none"/>
          </w:rPr>
          <w:t>iSeeCars.com</w:t>
        </w:r>
        <w:proofErr w:type="gramEnd"/>
      </w:hyperlink>
      <w:r w:rsidR="00630A1B">
        <w:rPr>
          <w:rFonts w:ascii="Calibri" w:hAnsi="Calibri"/>
        </w:rPr>
        <w:t xml:space="preserve"> is a Boston-based </w:t>
      </w:r>
      <w:hyperlink r:id="rId21">
        <w:r w:rsidR="00630A1B" w:rsidRPr="005D216B">
          <w:rPr>
            <w:rStyle w:val="InternetLink"/>
            <w:rFonts w:ascii="Calibri" w:hAnsi="Calibri"/>
            <w:u w:val="none"/>
          </w:rPr>
          <w:t>car search engine</w:t>
        </w:r>
      </w:hyperlink>
      <w:r w:rsidR="00630A1B">
        <w:rPr>
          <w:rFonts w:ascii="Calibri" w:hAnsi="Calibri"/>
        </w:rPr>
        <w:t xml:space="preserve"> that's helped saved shoppers more than $125 million. It helps consumers find the best deals by providing key insights and guidance, using big data analytics powered by over 25 billion (and growing) data points and proprietary algorithms to objectively analyze, score and rank millions of cars and thousands of dealers. </w:t>
      </w:r>
    </w:p>
    <w:sectPr w:rsidR="00186203">
      <w:headerReference w:type="default" r:id="rId22"/>
      <w:pgSz w:w="12240" w:h="15840"/>
      <w:pgMar w:top="1134" w:right="1134" w:bottom="1134" w:left="1134"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F2B" w:rsidRDefault="00E45F2B">
      <w:pPr>
        <w:rPr>
          <w:rFonts w:hint="eastAsia"/>
        </w:rPr>
      </w:pPr>
      <w:r>
        <w:separator/>
      </w:r>
    </w:p>
  </w:endnote>
  <w:endnote w:type="continuationSeparator" w:id="0">
    <w:p w:rsidR="00E45F2B" w:rsidRDefault="00E45F2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F2B" w:rsidRDefault="00E45F2B">
      <w:pPr>
        <w:rPr>
          <w:rFonts w:hint="eastAsia"/>
        </w:rPr>
      </w:pPr>
      <w:r>
        <w:separator/>
      </w:r>
    </w:p>
  </w:footnote>
  <w:footnote w:type="continuationSeparator" w:id="0">
    <w:p w:rsidR="00E45F2B" w:rsidRDefault="00E45F2B">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203" w:rsidRDefault="00630A1B">
    <w:pPr>
      <w:pStyle w:val="Header"/>
      <w:jc w:val="right"/>
      <w:rPr>
        <w:rFonts w:ascii="Calibri" w:hAnsi="Calibri"/>
        <w:sz w:val="20"/>
        <w:szCs w:val="20"/>
      </w:rPr>
    </w:pPr>
    <w:r>
      <w:rPr>
        <w:rFonts w:ascii="Calibri" w:hAnsi="Calibri"/>
        <w:sz w:val="20"/>
        <w:szCs w:val="20"/>
      </w:rPr>
      <w:t>Local Car Preferences |</w:t>
    </w:r>
    <w:r w:rsidRPr="005D216B">
      <w:rPr>
        <w:rFonts w:asciiTheme="minorHAnsi" w:hAnsiTheme="minorHAnsi"/>
        <w:sz w:val="20"/>
        <w:szCs w:val="20"/>
      </w:rPr>
      <w:t xml:space="preserve"> </w:t>
    </w:r>
    <w:r w:rsidRPr="005D216B">
      <w:rPr>
        <w:rFonts w:asciiTheme="minorHAnsi" w:hAnsiTheme="minorHAnsi"/>
        <w:sz w:val="20"/>
        <w:szCs w:val="20"/>
      </w:rPr>
      <w:fldChar w:fldCharType="begin"/>
    </w:r>
    <w:r w:rsidRPr="005D216B">
      <w:rPr>
        <w:rFonts w:asciiTheme="minorHAnsi" w:hAnsiTheme="minorHAnsi"/>
        <w:sz w:val="20"/>
        <w:szCs w:val="20"/>
      </w:rPr>
      <w:instrText>PAGE</w:instrText>
    </w:r>
    <w:r w:rsidRPr="005D216B">
      <w:rPr>
        <w:rFonts w:asciiTheme="minorHAnsi" w:hAnsiTheme="minorHAnsi"/>
        <w:sz w:val="20"/>
        <w:szCs w:val="20"/>
      </w:rPr>
      <w:fldChar w:fldCharType="separate"/>
    </w:r>
    <w:r w:rsidR="00C82ED5">
      <w:rPr>
        <w:rFonts w:asciiTheme="minorHAnsi" w:hAnsiTheme="minorHAnsi"/>
        <w:noProof/>
        <w:sz w:val="20"/>
        <w:szCs w:val="20"/>
      </w:rPr>
      <w:t>2</w:t>
    </w:r>
    <w:r w:rsidRPr="005D216B">
      <w:rPr>
        <w:rFonts w:asciiTheme="minorHAnsi" w:hAnsiTheme="minorHAnsi"/>
        <w:sz w:val="20"/>
        <w:szCs w:val="20"/>
      </w:rPr>
      <w:fldChar w:fldCharType="end"/>
    </w:r>
  </w:p>
  <w:p w:rsidR="00186203" w:rsidRDefault="00186203">
    <w:pPr>
      <w:pStyle w:val="Head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23F0C"/>
    <w:multiLevelType w:val="multilevel"/>
    <w:tmpl w:val="DFF8A9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7DD1094E"/>
    <w:multiLevelType w:val="multilevel"/>
    <w:tmpl w:val="2C90E4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7E15356E"/>
    <w:multiLevelType w:val="multilevel"/>
    <w:tmpl w:val="E90C10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86203"/>
    <w:rsid w:val="00186203"/>
    <w:rsid w:val="002A3193"/>
    <w:rsid w:val="005D216B"/>
    <w:rsid w:val="005E4B81"/>
    <w:rsid w:val="00630A1B"/>
    <w:rsid w:val="0080541B"/>
    <w:rsid w:val="00C82ED5"/>
    <w:rsid w:val="00E45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4441D1"/>
    <w:rPr>
      <w:color w:val="0563C1"/>
      <w:u w:val="single"/>
    </w:rPr>
  </w:style>
  <w:style w:type="character" w:customStyle="1" w:styleId="BalloonTextChar">
    <w:name w:val="Balloon Text Char"/>
    <w:basedOn w:val="DefaultParagraphFont"/>
    <w:link w:val="BalloonText"/>
    <w:uiPriority w:val="99"/>
    <w:semiHidden/>
    <w:rsid w:val="00D07B1D"/>
    <w:rPr>
      <w:rFonts w:ascii="Times New Roman" w:hAnsi="Times New Roman"/>
      <w:sz w:val="18"/>
      <w:szCs w:val="16"/>
    </w:rPr>
  </w:style>
  <w:style w:type="character" w:styleId="FollowedHyperlink">
    <w:name w:val="FollowedHyperlink"/>
    <w:basedOn w:val="DefaultParagraphFont"/>
    <w:uiPriority w:val="99"/>
    <w:semiHidden/>
    <w:unhideWhenUsed/>
    <w:rsid w:val="005D1F8C"/>
    <w:rPr>
      <w:color w:val="954F72"/>
      <w:u w:val="single"/>
    </w:rPr>
  </w:style>
  <w:style w:type="character" w:customStyle="1" w:styleId="HeaderChar">
    <w:name w:val="Header Char"/>
    <w:basedOn w:val="DefaultParagraphFont"/>
    <w:link w:val="Header"/>
    <w:uiPriority w:val="99"/>
    <w:rsid w:val="005B21AB"/>
    <w:rPr>
      <w:szCs w:val="21"/>
    </w:rPr>
  </w:style>
  <w:style w:type="character" w:customStyle="1" w:styleId="FooterChar">
    <w:name w:val="Footer Char"/>
    <w:basedOn w:val="DefaultParagraphFont"/>
    <w:link w:val="Footer"/>
    <w:uiPriority w:val="99"/>
    <w:rsid w:val="005B21AB"/>
    <w:rPr>
      <w:szCs w:val="21"/>
    </w:rPr>
  </w:style>
  <w:style w:type="character" w:styleId="CommentReference">
    <w:name w:val="annotation reference"/>
    <w:basedOn w:val="DefaultParagraphFont"/>
    <w:uiPriority w:val="99"/>
    <w:semiHidden/>
    <w:unhideWhenUsed/>
    <w:rsid w:val="00342042"/>
    <w:rPr>
      <w:sz w:val="16"/>
      <w:szCs w:val="16"/>
    </w:rPr>
  </w:style>
  <w:style w:type="character" w:customStyle="1" w:styleId="CommentTextChar">
    <w:name w:val="Comment Text Char"/>
    <w:basedOn w:val="DefaultParagraphFont"/>
    <w:link w:val="CommentText"/>
    <w:uiPriority w:val="99"/>
    <w:semiHidden/>
    <w:rsid w:val="00342042"/>
    <w:rPr>
      <w:sz w:val="20"/>
      <w:szCs w:val="18"/>
    </w:rPr>
  </w:style>
  <w:style w:type="character" w:customStyle="1" w:styleId="CommentSubjectChar">
    <w:name w:val="Comment Subject Char"/>
    <w:basedOn w:val="CommentTextChar"/>
    <w:link w:val="CommentSubject"/>
    <w:uiPriority w:val="99"/>
    <w:semiHidden/>
    <w:rsid w:val="00342042"/>
    <w:rPr>
      <w:b/>
      <w:bCs/>
      <w:sz w:val="20"/>
      <w:szCs w:val="18"/>
    </w:rPr>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paragraph" w:customStyle="1" w:styleId="Heading">
    <w:name w:val="Heading"/>
    <w:basedOn w:val="Normal"/>
    <w:next w:val="TextBody"/>
    <w:pPr>
      <w:keepNext/>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D07B1D"/>
    <w:rPr>
      <w:rFonts w:ascii="Times New Roman" w:hAnsi="Times New Roman"/>
      <w:sz w:val="18"/>
      <w:szCs w:val="16"/>
    </w:rPr>
  </w:style>
  <w:style w:type="paragraph" w:styleId="Revision">
    <w:name w:val="Revision"/>
    <w:uiPriority w:val="99"/>
    <w:semiHidden/>
    <w:rsid w:val="0067430A"/>
    <w:pPr>
      <w:suppressAutoHyphens/>
    </w:pPr>
    <w:rPr>
      <w:szCs w:val="21"/>
    </w:rPr>
  </w:style>
  <w:style w:type="paragraph" w:styleId="NormalWeb">
    <w:name w:val="Normal (Web)"/>
    <w:basedOn w:val="Normal"/>
    <w:uiPriority w:val="99"/>
    <w:unhideWhenUsed/>
    <w:rsid w:val="00DD1FA6"/>
    <w:pPr>
      <w:widowControl/>
      <w:spacing w:after="280"/>
    </w:pPr>
    <w:rPr>
      <w:rFonts w:ascii="Times New Roman" w:eastAsia="Times New Roman" w:hAnsi="Times New Roman" w:cs="Times New Roman"/>
      <w:color w:val="00000A"/>
      <w:lang w:eastAsia="en-US" w:bidi="ar-SA"/>
    </w:rPr>
  </w:style>
  <w:style w:type="paragraph" w:styleId="Header">
    <w:name w:val="header"/>
    <w:basedOn w:val="Normal"/>
    <w:link w:val="HeaderChar"/>
    <w:uiPriority w:val="99"/>
    <w:unhideWhenUsed/>
    <w:rsid w:val="005B21AB"/>
    <w:pPr>
      <w:tabs>
        <w:tab w:val="center" w:pos="4680"/>
        <w:tab w:val="right" w:pos="9360"/>
      </w:tabs>
    </w:pPr>
    <w:rPr>
      <w:szCs w:val="21"/>
    </w:rPr>
  </w:style>
  <w:style w:type="paragraph" w:styleId="Footer">
    <w:name w:val="footer"/>
    <w:basedOn w:val="Normal"/>
    <w:link w:val="FooterChar"/>
    <w:uiPriority w:val="99"/>
    <w:unhideWhenUsed/>
    <w:rsid w:val="005B21AB"/>
    <w:pPr>
      <w:tabs>
        <w:tab w:val="center" w:pos="4680"/>
        <w:tab w:val="right" w:pos="9360"/>
      </w:tabs>
    </w:pPr>
    <w:rPr>
      <w:szCs w:val="21"/>
    </w:rPr>
  </w:style>
  <w:style w:type="paragraph" w:styleId="ListParagraph">
    <w:name w:val="List Paragraph"/>
    <w:basedOn w:val="Normal"/>
    <w:uiPriority w:val="34"/>
    <w:qFormat/>
    <w:rsid w:val="00C27A04"/>
    <w:pPr>
      <w:ind w:left="720"/>
      <w:contextualSpacing/>
    </w:pPr>
    <w:rPr>
      <w:szCs w:val="21"/>
    </w:rPr>
  </w:style>
  <w:style w:type="paragraph" w:styleId="CommentText">
    <w:name w:val="annotation text"/>
    <w:basedOn w:val="Normal"/>
    <w:link w:val="CommentTextChar"/>
    <w:uiPriority w:val="99"/>
    <w:semiHidden/>
    <w:unhideWhenUsed/>
    <w:rsid w:val="00342042"/>
    <w:rPr>
      <w:sz w:val="20"/>
      <w:szCs w:val="18"/>
    </w:rPr>
  </w:style>
  <w:style w:type="paragraph" w:styleId="CommentSubject">
    <w:name w:val="annotation subject"/>
    <w:basedOn w:val="CommentText"/>
    <w:link w:val="CommentSubjectChar"/>
    <w:uiPriority w:val="99"/>
    <w:semiHidden/>
    <w:unhideWhenUsed/>
    <w:rsid w:val="00342042"/>
    <w:rPr>
      <w:b/>
      <w:bCs/>
    </w:rPr>
  </w:style>
  <w:style w:type="table" w:styleId="TableGrid">
    <w:name w:val="Table Grid"/>
    <w:basedOn w:val="TableNormal"/>
    <w:uiPriority w:val="39"/>
    <w:rsid w:val="00D07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319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eecars.com/" TargetMode="External"/><Relationship Id="rId13" Type="http://schemas.openxmlformats.org/officeDocument/2006/relationships/hyperlink" Target="https://www.iseecars.com/used_cars-t5989-used-chevrolet-malibu-for-sale" TargetMode="External"/><Relationship Id="rId18" Type="http://schemas.openxmlformats.org/officeDocument/2006/relationships/hyperlink" Target="https://www.iseecars.com/used_cars-t5989-used-chrysler-300-for-sale" TargetMode="External"/><Relationship Id="rId3" Type="http://schemas.microsoft.com/office/2007/relationships/stylesWithEffects" Target="stylesWithEffects.xml"/><Relationship Id="rId21" Type="http://schemas.openxmlformats.org/officeDocument/2006/relationships/hyperlink" Target="https://www.iseecars.com/used-car-finder" TargetMode="External"/><Relationship Id="rId7" Type="http://schemas.openxmlformats.org/officeDocument/2006/relationships/endnotes" Target="endnotes.xml"/><Relationship Id="rId12" Type="http://schemas.openxmlformats.org/officeDocument/2006/relationships/hyperlink" Target="https://www.iseecars.com/used_cars-t5989-used-chevrolet-silverado-1500-for-sale" TargetMode="External"/><Relationship Id="rId17" Type="http://schemas.openxmlformats.org/officeDocument/2006/relationships/hyperlink" Target="https://www.iseecars.com/used_cars-t5989-used-ford-explorer-for-sale" TargetMode="External"/><Relationship Id="rId2" Type="http://schemas.openxmlformats.org/officeDocument/2006/relationships/styles" Target="styles.xml"/><Relationship Id="rId16" Type="http://schemas.openxmlformats.org/officeDocument/2006/relationships/hyperlink" Target="https://www.iseecars.com/used_cars-t5989-used-bmw-3-series-for-sale" TargetMode="External"/><Relationship Id="rId20" Type="http://schemas.openxmlformats.org/officeDocument/2006/relationships/hyperlink" Target="https://www.iseecars.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iseecars.com/used_cars-t5989-used-honda-civic-for-sal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seecars.com/used_cars-t5989-used-toyota-camry-for-sale" TargetMode="External"/><Relationship Id="rId23" Type="http://schemas.openxmlformats.org/officeDocument/2006/relationships/fontTable" Target="fontTable.xml"/><Relationship Id="rId10" Type="http://schemas.openxmlformats.org/officeDocument/2006/relationships/hyperlink" Target="https://www.iseecars.com/used_cars-t5989-used-chevrolet-impala-for-sale" TargetMode="External"/><Relationship Id="rId19" Type="http://schemas.openxmlformats.org/officeDocument/2006/relationships/hyperlink" Target="https://www.iseecars.com/used_cars-t5989-used-ford-focus-for-sale" TargetMode="External"/><Relationship Id="rId4" Type="http://schemas.openxmlformats.org/officeDocument/2006/relationships/settings" Target="settings.xml"/><Relationship Id="rId9" Type="http://schemas.openxmlformats.org/officeDocument/2006/relationships/hyperlink" Target="https://www.iseecars.com/used-car-finder" TargetMode="External"/><Relationship Id="rId14" Type="http://schemas.openxmlformats.org/officeDocument/2006/relationships/hyperlink" Target="https://www.iseecars.com/used_cars-t5989-used-honda-accord-for-sal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6211</TotalTime>
  <Pages>1</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Kara</cp:lastModifiedBy>
  <cp:revision>28</cp:revision>
  <cp:lastPrinted>2017-08-21T22:12:00Z</cp:lastPrinted>
  <dcterms:created xsi:type="dcterms:W3CDTF">2017-08-23T16:56:00Z</dcterms:created>
  <dcterms:modified xsi:type="dcterms:W3CDTF">2017-10-03T14:17:00Z</dcterms:modified>
  <dc:language>en-US</dc:language>
</cp:coreProperties>
</file>